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47" w:rsidRDefault="00CC5D47" w:rsidP="002B689D">
      <w:pPr>
        <w:rPr>
          <w:rFonts w:ascii="Verdana" w:hAnsi="Verdana"/>
          <w:bCs/>
          <w:sz w:val="16"/>
          <w:szCs w:val="16"/>
          <w:lang w:val="et-EE"/>
        </w:rPr>
      </w:pPr>
      <w:bookmarkStart w:id="0" w:name="_GoBack"/>
      <w:bookmarkEnd w:id="0"/>
      <w:r>
        <w:rPr>
          <w:rFonts w:ascii="Verdana" w:hAnsi="Verdana"/>
          <w:bCs/>
          <w:sz w:val="16"/>
          <w:szCs w:val="16"/>
          <w:lang w:val="et-EE"/>
        </w:rPr>
        <w:t>Lisa 2</w:t>
      </w:r>
    </w:p>
    <w:p w:rsidR="00CC5D47" w:rsidRDefault="00CC5D47">
      <w:pPr>
        <w:ind w:left="720"/>
        <w:jc w:val="both"/>
        <w:rPr>
          <w:rFonts w:ascii="Verdana" w:hAnsi="Verdana"/>
          <w:b/>
          <w:bCs/>
          <w:i/>
          <w:sz w:val="18"/>
          <w:szCs w:val="18"/>
          <w:lang w:val="et-EE"/>
        </w:rPr>
      </w:pPr>
    </w:p>
    <w:p w:rsidR="00CC5D47" w:rsidRDefault="00CC5D47">
      <w:pPr>
        <w:ind w:left="720"/>
        <w:jc w:val="both"/>
        <w:rPr>
          <w:rFonts w:ascii="Verdana" w:hAnsi="Verdana"/>
          <w:b/>
          <w:bCs/>
          <w:i/>
          <w:sz w:val="18"/>
          <w:szCs w:val="18"/>
          <w:lang w:val="et-EE"/>
        </w:rPr>
      </w:pPr>
    </w:p>
    <w:p w:rsidR="00CC5D47" w:rsidRDefault="00CC5D47">
      <w:pPr>
        <w:pStyle w:val="Title"/>
        <w:rPr>
          <w:rFonts w:ascii="Verdana" w:hAnsi="Verdana"/>
          <w:sz w:val="18"/>
          <w:szCs w:val="18"/>
          <w:u w:val="none"/>
        </w:rPr>
      </w:pPr>
      <w:r>
        <w:rPr>
          <w:rFonts w:ascii="Verdana" w:hAnsi="Verdana"/>
          <w:sz w:val="18"/>
          <w:szCs w:val="18"/>
          <w:u w:val="none"/>
        </w:rPr>
        <w:t>ETO MÄRGI LITSENTSILEPING</w:t>
      </w:r>
    </w:p>
    <w:p w:rsidR="00CC5D47" w:rsidRDefault="00CC5D47">
      <w:pPr>
        <w:jc w:val="center"/>
        <w:rPr>
          <w:rFonts w:ascii="Verdana" w:hAnsi="Verdana"/>
          <w:sz w:val="16"/>
          <w:szCs w:val="16"/>
          <w:u w:val="single"/>
          <w:lang w:val="et-EE"/>
        </w:rPr>
      </w:pPr>
    </w:p>
    <w:p w:rsidR="00CC5D47" w:rsidRDefault="00CC5D47">
      <w:pPr>
        <w:jc w:val="center"/>
        <w:rPr>
          <w:rFonts w:ascii="Verdana" w:hAnsi="Verdana"/>
          <w:sz w:val="16"/>
          <w:szCs w:val="16"/>
          <w:u w:val="single"/>
          <w:lang w:val="et-EE"/>
        </w:rPr>
      </w:pPr>
    </w:p>
    <w:p w:rsidR="00CC5D47" w:rsidRDefault="00CC5D47">
      <w:pPr>
        <w:jc w:val="center"/>
        <w:rPr>
          <w:rFonts w:ascii="Verdana" w:hAnsi="Verdana"/>
          <w:sz w:val="16"/>
          <w:szCs w:val="16"/>
          <w:u w:val="single"/>
          <w:lang w:val="et-EE"/>
        </w:rPr>
      </w:pPr>
    </w:p>
    <w:p w:rsidR="00CC5D47" w:rsidRDefault="00CC5D47">
      <w:pPr>
        <w:jc w:val="both"/>
        <w:rPr>
          <w:rFonts w:ascii="Verdana" w:hAnsi="Verdana"/>
          <w:sz w:val="16"/>
          <w:szCs w:val="16"/>
          <w:lang w:val="et-EE"/>
        </w:rPr>
      </w:pPr>
    </w:p>
    <w:p w:rsidR="00CC5D47" w:rsidRDefault="00CC5D47">
      <w:pPr>
        <w:jc w:val="both"/>
        <w:rPr>
          <w:rFonts w:ascii="Verdana" w:hAnsi="Verdana"/>
          <w:sz w:val="16"/>
          <w:szCs w:val="16"/>
          <w:lang w:val="et-EE"/>
        </w:rPr>
      </w:pPr>
      <w:r>
        <w:rPr>
          <w:rFonts w:ascii="Verdana" w:hAnsi="Verdana"/>
          <w:b/>
          <w:sz w:val="16"/>
          <w:szCs w:val="16"/>
          <w:lang w:val="et-EE"/>
        </w:rPr>
        <w:t>EESTI TAASKASUTUSORGANISATSIOON MTÜ</w:t>
      </w:r>
      <w:r>
        <w:rPr>
          <w:rFonts w:ascii="Verdana" w:hAnsi="Verdana"/>
          <w:sz w:val="16"/>
          <w:szCs w:val="16"/>
          <w:lang w:val="et-EE"/>
        </w:rPr>
        <w:t xml:space="preserve"> (edaspidi nimetatud </w:t>
      </w:r>
      <w:r>
        <w:rPr>
          <w:rFonts w:ascii="Verdana" w:hAnsi="Verdana"/>
          <w:b/>
          <w:sz w:val="16"/>
          <w:szCs w:val="16"/>
          <w:lang w:val="et-EE"/>
        </w:rPr>
        <w:t>ETO</w:t>
      </w:r>
      <w:r>
        <w:rPr>
          <w:rFonts w:ascii="Verdana" w:hAnsi="Verdana"/>
          <w:sz w:val="16"/>
          <w:szCs w:val="16"/>
          <w:lang w:val="et-EE"/>
        </w:rPr>
        <w:t>)</w:t>
      </w:r>
    </w:p>
    <w:p w:rsidR="00CC5D47" w:rsidRDefault="00CC5D47">
      <w:pPr>
        <w:jc w:val="both"/>
        <w:rPr>
          <w:rFonts w:ascii="Verdana" w:hAnsi="Verdana"/>
          <w:sz w:val="16"/>
          <w:szCs w:val="16"/>
          <w:lang w:val="et-EE"/>
        </w:rPr>
      </w:pPr>
    </w:p>
    <w:p w:rsidR="00CC5D47" w:rsidRDefault="00CC5D47">
      <w:pPr>
        <w:jc w:val="both"/>
        <w:rPr>
          <w:rFonts w:ascii="Verdana" w:hAnsi="Verdana"/>
          <w:sz w:val="16"/>
          <w:szCs w:val="16"/>
          <w:lang w:val="et-EE"/>
        </w:rPr>
      </w:pPr>
      <w:r>
        <w:rPr>
          <w:rFonts w:ascii="Verdana" w:hAnsi="Verdana"/>
          <w:sz w:val="16"/>
          <w:szCs w:val="16"/>
          <w:lang w:val="et-EE"/>
        </w:rPr>
        <w:t>ja</w:t>
      </w:r>
    </w:p>
    <w:p w:rsidR="00CC5D47" w:rsidRDefault="00CC5D47">
      <w:pPr>
        <w:jc w:val="both"/>
        <w:rPr>
          <w:rFonts w:ascii="Verdana" w:hAnsi="Verdana"/>
          <w:sz w:val="16"/>
          <w:szCs w:val="16"/>
          <w:lang w:val="et-EE"/>
        </w:rPr>
      </w:pPr>
    </w:p>
    <w:p w:rsidR="00CC5D47" w:rsidRDefault="00CC5D47">
      <w:pPr>
        <w:jc w:val="both"/>
        <w:rPr>
          <w:rFonts w:ascii="Verdana" w:hAnsi="Verdana"/>
          <w:sz w:val="16"/>
          <w:szCs w:val="16"/>
          <w:lang w:val="et-EE"/>
        </w:rPr>
      </w:pPr>
      <w:r>
        <w:rPr>
          <w:rFonts w:ascii="Verdana" w:hAnsi="Verdana"/>
          <w:b/>
          <w:sz w:val="16"/>
          <w:szCs w:val="16"/>
          <w:lang w:val="et-EE"/>
        </w:rPr>
        <w:t>PAKENDIETTEVÕTJA</w:t>
      </w:r>
      <w:r>
        <w:rPr>
          <w:rFonts w:ascii="Verdana" w:hAnsi="Verdana"/>
          <w:sz w:val="16"/>
          <w:szCs w:val="16"/>
          <w:lang w:val="et-EE"/>
        </w:rPr>
        <w:t xml:space="preserve"> (edaspidi nimetatud </w:t>
      </w:r>
      <w:r>
        <w:rPr>
          <w:rFonts w:ascii="Verdana" w:hAnsi="Verdana"/>
          <w:b/>
          <w:sz w:val="16"/>
          <w:szCs w:val="16"/>
          <w:lang w:val="et-EE"/>
        </w:rPr>
        <w:t>Litsentsisaaja</w:t>
      </w:r>
      <w:r>
        <w:rPr>
          <w:rFonts w:ascii="Verdana" w:hAnsi="Verdana"/>
          <w:sz w:val="16"/>
          <w:szCs w:val="16"/>
          <w:lang w:val="et-EE"/>
        </w:rPr>
        <w:t>)</w:t>
      </w:r>
    </w:p>
    <w:p w:rsidR="00CC5D47" w:rsidRDefault="00CC5D47">
      <w:pPr>
        <w:jc w:val="both"/>
        <w:rPr>
          <w:rFonts w:ascii="Verdana" w:hAnsi="Verdana"/>
          <w:sz w:val="16"/>
          <w:szCs w:val="16"/>
          <w:lang w:val="et-EE"/>
        </w:rPr>
      </w:pPr>
    </w:p>
    <w:p w:rsidR="00CC5D47" w:rsidRDefault="00CC5D47">
      <w:pPr>
        <w:jc w:val="both"/>
        <w:rPr>
          <w:rFonts w:ascii="Verdana" w:hAnsi="Verdana"/>
          <w:sz w:val="16"/>
          <w:szCs w:val="16"/>
          <w:lang w:val="et-EE"/>
        </w:rPr>
      </w:pPr>
      <w:r>
        <w:rPr>
          <w:rFonts w:ascii="Verdana" w:hAnsi="Verdana"/>
          <w:sz w:val="16"/>
          <w:szCs w:val="16"/>
          <w:lang w:val="et-EE"/>
        </w:rPr>
        <w:t xml:space="preserve">edaspidi ETO ja Litsentsisaaja koos nimetatud </w:t>
      </w:r>
      <w:r>
        <w:rPr>
          <w:rFonts w:ascii="Verdana" w:hAnsi="Verdana"/>
          <w:b/>
          <w:sz w:val="16"/>
          <w:szCs w:val="16"/>
          <w:lang w:val="et-EE"/>
        </w:rPr>
        <w:t>Pooled</w:t>
      </w:r>
      <w:r>
        <w:rPr>
          <w:rFonts w:ascii="Verdana" w:hAnsi="Verdana"/>
          <w:sz w:val="16"/>
          <w:szCs w:val="16"/>
          <w:lang w:val="et-EE"/>
        </w:rPr>
        <w:t xml:space="preserve">, eraldi </w:t>
      </w:r>
      <w:r>
        <w:rPr>
          <w:rFonts w:ascii="Verdana" w:hAnsi="Verdana"/>
          <w:b/>
          <w:sz w:val="16"/>
          <w:szCs w:val="16"/>
          <w:lang w:val="et-EE"/>
        </w:rPr>
        <w:t>Pool</w:t>
      </w:r>
    </w:p>
    <w:p w:rsidR="00CC5D47" w:rsidRDefault="00CC5D47">
      <w:pPr>
        <w:jc w:val="both"/>
        <w:rPr>
          <w:rFonts w:ascii="Verdana" w:hAnsi="Verdana"/>
          <w:sz w:val="16"/>
          <w:szCs w:val="16"/>
          <w:lang w:val="et-EE"/>
        </w:rPr>
      </w:pPr>
    </w:p>
    <w:p w:rsidR="00CC5D47" w:rsidRDefault="00CC5D47">
      <w:pPr>
        <w:jc w:val="both"/>
        <w:rPr>
          <w:rFonts w:ascii="Verdana" w:hAnsi="Verdana"/>
          <w:sz w:val="16"/>
          <w:szCs w:val="16"/>
          <w:lang w:val="et-EE"/>
        </w:rPr>
      </w:pPr>
    </w:p>
    <w:p w:rsidR="00CC5D47" w:rsidRDefault="00CC5D47">
      <w:pPr>
        <w:jc w:val="both"/>
        <w:rPr>
          <w:rFonts w:ascii="Verdana" w:hAnsi="Verdana"/>
          <w:b/>
          <w:sz w:val="16"/>
          <w:szCs w:val="16"/>
          <w:lang w:val="et-EE"/>
        </w:rPr>
      </w:pPr>
      <w:r>
        <w:rPr>
          <w:rFonts w:ascii="Verdana" w:hAnsi="Verdana"/>
          <w:b/>
          <w:sz w:val="16"/>
          <w:szCs w:val="16"/>
          <w:lang w:val="et-EE"/>
        </w:rPr>
        <w:t>PREAMBULA</w:t>
      </w:r>
    </w:p>
    <w:p w:rsidR="00CC5D47" w:rsidRDefault="00CC5D47">
      <w:pPr>
        <w:jc w:val="both"/>
        <w:rPr>
          <w:rFonts w:ascii="Verdana" w:hAnsi="Verdana"/>
          <w:sz w:val="16"/>
          <w:szCs w:val="16"/>
          <w:lang w:val="et-EE"/>
        </w:rPr>
      </w:pPr>
    </w:p>
    <w:p w:rsidR="00CC5D47" w:rsidRDefault="00CC5D47">
      <w:pPr>
        <w:jc w:val="both"/>
        <w:rPr>
          <w:rFonts w:ascii="Verdana" w:hAnsi="Verdana"/>
          <w:b/>
          <w:sz w:val="16"/>
          <w:szCs w:val="16"/>
          <w:lang w:val="et-EE"/>
        </w:rPr>
      </w:pPr>
      <w:r>
        <w:rPr>
          <w:rFonts w:ascii="Verdana" w:hAnsi="Verdana"/>
          <w:b/>
          <w:sz w:val="16"/>
          <w:szCs w:val="16"/>
          <w:lang w:val="et-EE"/>
        </w:rPr>
        <w:t>Arvestades, et :</w:t>
      </w:r>
    </w:p>
    <w:p w:rsidR="00CC5D47" w:rsidRDefault="00CC5D47" w:rsidP="00D05AD7">
      <w:pPr>
        <w:jc w:val="both"/>
        <w:rPr>
          <w:rFonts w:ascii="Verdana" w:hAnsi="Verdana"/>
          <w:sz w:val="16"/>
          <w:szCs w:val="16"/>
          <w:lang w:val="et-EE"/>
        </w:rPr>
      </w:pPr>
    </w:p>
    <w:p w:rsidR="00CC5D47" w:rsidRDefault="00CC5D47">
      <w:pPr>
        <w:ind w:left="720" w:hanging="720"/>
        <w:jc w:val="both"/>
        <w:rPr>
          <w:rFonts w:ascii="Verdana" w:hAnsi="Verdana"/>
          <w:sz w:val="16"/>
          <w:szCs w:val="16"/>
          <w:lang w:val="et-EE"/>
        </w:rPr>
      </w:pPr>
      <w:r>
        <w:rPr>
          <w:rFonts w:ascii="Verdana" w:hAnsi="Verdana"/>
          <w:sz w:val="16"/>
          <w:szCs w:val="16"/>
          <w:lang w:val="et-EE"/>
        </w:rPr>
        <w:t>(</w:t>
      </w:r>
      <w:r w:rsidR="00C84094">
        <w:rPr>
          <w:rFonts w:ascii="Verdana" w:hAnsi="Verdana"/>
          <w:sz w:val="16"/>
          <w:szCs w:val="16"/>
          <w:lang w:val="et-EE"/>
        </w:rPr>
        <w:t>a</w:t>
      </w:r>
      <w:r>
        <w:rPr>
          <w:rFonts w:ascii="Verdana" w:hAnsi="Verdana"/>
          <w:sz w:val="16"/>
          <w:szCs w:val="16"/>
          <w:lang w:val="et-EE"/>
        </w:rPr>
        <w:t>)</w:t>
      </w:r>
      <w:r>
        <w:rPr>
          <w:rFonts w:ascii="Verdana" w:hAnsi="Verdana"/>
          <w:sz w:val="16"/>
          <w:szCs w:val="16"/>
          <w:lang w:val="et-EE"/>
        </w:rPr>
        <w:tab/>
        <w:t>pakendiseaduse kohaselt võib pakendiettevõtja pakendi ja pakendijäätmete kogumise, korduskasutuse ja taaskasutuse lihtsustamiseks kanda pakendile või etiketile taaskasutusorganisatsiooni kuulumise märgistuse;</w:t>
      </w:r>
    </w:p>
    <w:p w:rsidR="00CC5D47" w:rsidRDefault="00CC5D47">
      <w:pPr>
        <w:ind w:left="720" w:hanging="720"/>
        <w:jc w:val="both"/>
        <w:rPr>
          <w:rFonts w:ascii="Verdana" w:hAnsi="Verdana"/>
          <w:sz w:val="16"/>
          <w:szCs w:val="16"/>
          <w:lang w:val="et-EE"/>
        </w:rPr>
      </w:pPr>
    </w:p>
    <w:p w:rsidR="00CC5D47" w:rsidRDefault="00CC5D47">
      <w:pPr>
        <w:ind w:left="720" w:hanging="720"/>
        <w:jc w:val="both"/>
        <w:rPr>
          <w:rFonts w:ascii="Verdana" w:hAnsi="Verdana"/>
          <w:sz w:val="16"/>
          <w:szCs w:val="16"/>
          <w:lang w:val="et-EE"/>
        </w:rPr>
      </w:pPr>
      <w:r>
        <w:rPr>
          <w:rFonts w:ascii="Verdana" w:hAnsi="Verdana"/>
          <w:sz w:val="16"/>
          <w:szCs w:val="16"/>
          <w:lang w:val="et-EE"/>
        </w:rPr>
        <w:t>(</w:t>
      </w:r>
      <w:r w:rsidR="00C84094">
        <w:rPr>
          <w:rFonts w:ascii="Verdana" w:hAnsi="Verdana"/>
          <w:sz w:val="16"/>
          <w:szCs w:val="16"/>
          <w:lang w:val="et-EE"/>
        </w:rPr>
        <w:t>b</w:t>
      </w:r>
      <w:r>
        <w:rPr>
          <w:rFonts w:ascii="Verdana" w:hAnsi="Verdana"/>
          <w:sz w:val="16"/>
          <w:szCs w:val="16"/>
          <w:lang w:val="et-EE"/>
        </w:rPr>
        <w:t>)</w:t>
      </w:r>
      <w:r>
        <w:rPr>
          <w:rFonts w:ascii="Verdana" w:hAnsi="Verdana"/>
          <w:sz w:val="16"/>
          <w:szCs w:val="16"/>
          <w:lang w:val="et-EE"/>
        </w:rPr>
        <w:tab/>
        <w:t>ETO’le kuulub rahvusvaheliselt tuntud kauba</w:t>
      </w:r>
      <w:r w:rsidR="00A915C1">
        <w:rPr>
          <w:rFonts w:ascii="Verdana" w:hAnsi="Verdana"/>
          <w:sz w:val="16"/>
          <w:szCs w:val="16"/>
          <w:lang w:val="et-EE"/>
        </w:rPr>
        <w:t>- ja teenindus</w:t>
      </w:r>
      <w:r>
        <w:rPr>
          <w:rFonts w:ascii="Verdana" w:hAnsi="Verdana"/>
          <w:sz w:val="16"/>
          <w:szCs w:val="16"/>
          <w:lang w:val="et-EE"/>
        </w:rPr>
        <w:t xml:space="preserve">märgi </w:t>
      </w:r>
      <w:r>
        <w:rPr>
          <w:rFonts w:ascii="Verdana" w:hAnsi="Verdana"/>
          <w:i/>
          <w:sz w:val="16"/>
          <w:szCs w:val="16"/>
          <w:lang w:val="et-EE"/>
        </w:rPr>
        <w:t>Der Grüne</w:t>
      </w:r>
      <w:r>
        <w:rPr>
          <w:rFonts w:ascii="Verdana" w:hAnsi="Verdana"/>
          <w:sz w:val="16"/>
          <w:szCs w:val="16"/>
          <w:lang w:val="et-EE"/>
        </w:rPr>
        <w:t xml:space="preserve"> </w:t>
      </w:r>
      <w:r>
        <w:rPr>
          <w:rFonts w:ascii="Verdana" w:hAnsi="Verdana"/>
          <w:i/>
          <w:sz w:val="16"/>
          <w:szCs w:val="16"/>
          <w:lang w:val="et-EE"/>
        </w:rPr>
        <w:t>Punkt</w:t>
      </w:r>
      <w:r>
        <w:rPr>
          <w:rFonts w:ascii="Verdana" w:hAnsi="Verdana"/>
          <w:sz w:val="16"/>
          <w:szCs w:val="16"/>
          <w:lang w:val="et-EE"/>
        </w:rPr>
        <w:t xml:space="preserve"> (Roheli</w:t>
      </w:r>
      <w:r w:rsidR="005B54BF">
        <w:rPr>
          <w:rFonts w:ascii="Verdana" w:hAnsi="Verdana"/>
          <w:sz w:val="16"/>
          <w:szCs w:val="16"/>
          <w:lang w:val="et-EE"/>
        </w:rPr>
        <w:t>n</w:t>
      </w:r>
      <w:r>
        <w:rPr>
          <w:rFonts w:ascii="Verdana" w:hAnsi="Verdana"/>
          <w:sz w:val="16"/>
          <w:szCs w:val="16"/>
          <w:lang w:val="et-EE"/>
        </w:rPr>
        <w:t>e Punkt)</w:t>
      </w:r>
      <w:r w:rsidR="005B54BF">
        <w:rPr>
          <w:rFonts w:ascii="Verdana" w:hAnsi="Verdana"/>
          <w:sz w:val="16"/>
          <w:szCs w:val="16"/>
          <w:lang w:val="et-EE"/>
        </w:rPr>
        <w:t xml:space="preserve"> </w:t>
      </w:r>
      <w:r>
        <w:rPr>
          <w:rFonts w:ascii="Verdana" w:hAnsi="Verdana"/>
          <w:sz w:val="16"/>
          <w:szCs w:val="16"/>
          <w:lang w:val="et-EE"/>
        </w:rPr>
        <w:t xml:space="preserve">kasutamise ja edasilitsentseerimise ainuõigus Eesti Vabariigis; </w:t>
      </w:r>
    </w:p>
    <w:p w:rsidR="00CC5D47" w:rsidRDefault="00CC5D47">
      <w:pPr>
        <w:jc w:val="both"/>
        <w:rPr>
          <w:rFonts w:ascii="Verdana" w:hAnsi="Verdana"/>
          <w:sz w:val="16"/>
          <w:szCs w:val="16"/>
          <w:lang w:val="et-EE"/>
        </w:rPr>
      </w:pPr>
    </w:p>
    <w:p w:rsidR="00CC5D47" w:rsidRDefault="00CC5D47">
      <w:pPr>
        <w:ind w:left="720" w:hanging="720"/>
        <w:jc w:val="both"/>
        <w:rPr>
          <w:rFonts w:ascii="Verdana" w:hAnsi="Verdana"/>
          <w:sz w:val="16"/>
          <w:szCs w:val="16"/>
          <w:lang w:val="et-EE"/>
        </w:rPr>
      </w:pPr>
      <w:r>
        <w:rPr>
          <w:rFonts w:ascii="Verdana" w:hAnsi="Verdana"/>
          <w:sz w:val="16"/>
          <w:szCs w:val="16"/>
          <w:lang w:val="et-EE"/>
        </w:rPr>
        <w:t>(</w:t>
      </w:r>
      <w:r w:rsidR="00C84094">
        <w:rPr>
          <w:rFonts w:ascii="Verdana" w:hAnsi="Verdana"/>
          <w:sz w:val="16"/>
          <w:szCs w:val="16"/>
          <w:lang w:val="et-EE"/>
        </w:rPr>
        <w:t>c</w:t>
      </w:r>
      <w:r>
        <w:rPr>
          <w:rFonts w:ascii="Verdana" w:hAnsi="Verdana"/>
          <w:sz w:val="16"/>
          <w:szCs w:val="16"/>
          <w:lang w:val="et-EE"/>
        </w:rPr>
        <w:t>)</w:t>
      </w:r>
      <w:r>
        <w:rPr>
          <w:rFonts w:ascii="Verdana" w:hAnsi="Verdana"/>
          <w:sz w:val="16"/>
          <w:szCs w:val="16"/>
          <w:lang w:val="et-EE"/>
        </w:rPr>
        <w:tab/>
        <w:t xml:space="preserve">ETO ja Litsentsisaaja soovivad ETO märgi abil edendada ja hõlbustada pakendi ja pakendijäätmete kogumist ja taaskasutust ning kehtivates õigusaktides ETO’le ja Litsentsisaajale sätestatud kohustuste täitmist; </w:t>
      </w:r>
    </w:p>
    <w:p w:rsidR="00CC5D47" w:rsidRDefault="00CC5D47">
      <w:pPr>
        <w:jc w:val="both"/>
        <w:rPr>
          <w:rFonts w:ascii="Verdana" w:hAnsi="Verdana"/>
          <w:b/>
          <w:sz w:val="16"/>
          <w:szCs w:val="16"/>
          <w:lang w:val="et-EE"/>
        </w:rPr>
      </w:pPr>
    </w:p>
    <w:p w:rsidR="00CC5D47" w:rsidRDefault="00CC5D47">
      <w:pPr>
        <w:ind w:left="708"/>
        <w:jc w:val="both"/>
        <w:rPr>
          <w:rFonts w:ascii="Verdana" w:hAnsi="Verdana"/>
          <w:b/>
          <w:sz w:val="16"/>
          <w:szCs w:val="16"/>
          <w:lang w:val="et-EE"/>
        </w:rPr>
      </w:pPr>
      <w:r>
        <w:rPr>
          <w:rFonts w:ascii="Verdana" w:hAnsi="Verdana"/>
          <w:b/>
          <w:sz w:val="16"/>
          <w:szCs w:val="16"/>
          <w:lang w:val="et-EE"/>
        </w:rPr>
        <w:t>ON POOLED SÕLMINUD ALLJÄRGNEVA KOKKULEPPE (edaspidi nimetatud Litsentsileping), mis on lahutamatuks osaks Poolte vahel sõlmitud Kliendilepingule:</w:t>
      </w:r>
    </w:p>
    <w:p w:rsidR="00CC5D47" w:rsidRDefault="00CC5D47">
      <w:pPr>
        <w:jc w:val="both"/>
        <w:rPr>
          <w:rFonts w:ascii="Verdana" w:hAnsi="Verdana"/>
          <w:sz w:val="16"/>
          <w:szCs w:val="16"/>
          <w:lang w:val="et-EE"/>
        </w:rPr>
      </w:pPr>
    </w:p>
    <w:p w:rsidR="00CC5D47" w:rsidRDefault="00CC5D47" w:rsidP="00F65095">
      <w:pPr>
        <w:jc w:val="both"/>
        <w:rPr>
          <w:rFonts w:ascii="Verdana" w:hAnsi="Verdana"/>
          <w:b/>
          <w:sz w:val="16"/>
          <w:szCs w:val="16"/>
          <w:u w:val="single"/>
          <w:lang w:val="et-EE"/>
        </w:rPr>
      </w:pPr>
    </w:p>
    <w:p w:rsidR="00CC5D47" w:rsidRDefault="00CC5D47">
      <w:pPr>
        <w:jc w:val="both"/>
        <w:rPr>
          <w:rFonts w:ascii="Verdana" w:hAnsi="Verdana"/>
          <w:b/>
          <w:sz w:val="16"/>
          <w:szCs w:val="16"/>
          <w:lang w:val="et-EE"/>
        </w:rPr>
      </w:pPr>
      <w:r>
        <w:rPr>
          <w:rFonts w:ascii="Verdana" w:hAnsi="Verdana"/>
          <w:b/>
          <w:sz w:val="16"/>
          <w:szCs w:val="16"/>
          <w:lang w:val="et-EE"/>
        </w:rPr>
        <w:t>I</w:t>
      </w:r>
      <w:r>
        <w:rPr>
          <w:rFonts w:ascii="Verdana" w:hAnsi="Verdana"/>
          <w:b/>
          <w:sz w:val="16"/>
          <w:szCs w:val="16"/>
          <w:lang w:val="et-EE"/>
        </w:rPr>
        <w:tab/>
        <w:t xml:space="preserve">LEPINGU </w:t>
      </w:r>
      <w:r w:rsidR="00E81B36">
        <w:rPr>
          <w:rFonts w:ascii="Verdana" w:hAnsi="Verdana"/>
          <w:b/>
          <w:sz w:val="16"/>
          <w:szCs w:val="16"/>
          <w:lang w:val="et-EE"/>
        </w:rPr>
        <w:t>ESE</w:t>
      </w:r>
      <w:r w:rsidR="003B3DAF">
        <w:rPr>
          <w:rFonts w:ascii="Verdana" w:hAnsi="Verdana"/>
          <w:b/>
          <w:sz w:val="16"/>
          <w:szCs w:val="16"/>
          <w:lang w:val="et-EE"/>
        </w:rPr>
        <w:t>, TASU MÄRGI KASUTAMISE EEST</w:t>
      </w:r>
    </w:p>
    <w:p w:rsidR="00CC5D47" w:rsidRDefault="00CC5D47">
      <w:pPr>
        <w:jc w:val="both"/>
        <w:rPr>
          <w:rFonts w:ascii="Verdana" w:hAnsi="Verdana"/>
          <w:sz w:val="16"/>
          <w:szCs w:val="16"/>
          <w:u w:val="single"/>
          <w:lang w:val="et-EE"/>
        </w:rPr>
      </w:pPr>
    </w:p>
    <w:p w:rsidR="00CC5D47" w:rsidRDefault="00F65095">
      <w:pPr>
        <w:ind w:left="720" w:hanging="720"/>
        <w:jc w:val="both"/>
        <w:rPr>
          <w:rFonts w:ascii="Verdana" w:hAnsi="Verdana"/>
          <w:sz w:val="16"/>
          <w:szCs w:val="16"/>
          <w:lang w:val="et-EE"/>
        </w:rPr>
      </w:pPr>
      <w:r>
        <w:rPr>
          <w:rFonts w:ascii="Verdana" w:hAnsi="Verdana"/>
          <w:sz w:val="16"/>
          <w:szCs w:val="16"/>
          <w:lang w:val="et-EE"/>
        </w:rPr>
        <w:t>1</w:t>
      </w:r>
      <w:r w:rsidR="00CC5D47">
        <w:rPr>
          <w:rFonts w:ascii="Verdana" w:hAnsi="Verdana"/>
          <w:sz w:val="16"/>
          <w:szCs w:val="16"/>
          <w:lang w:val="et-EE"/>
        </w:rPr>
        <w:t>.1.</w:t>
      </w:r>
      <w:r w:rsidR="00CC5D47">
        <w:rPr>
          <w:rFonts w:ascii="Verdana" w:hAnsi="Verdana"/>
          <w:sz w:val="16"/>
          <w:szCs w:val="16"/>
          <w:lang w:val="et-EE"/>
        </w:rPr>
        <w:tab/>
        <w:t xml:space="preserve">ETO annab Litsentsisaajale Litsentsilepingu alusel ja selles sätestatud tingimustel õiguse ETO märgi (Lisa A) mittevälistavaks kasutamiseks Litsentsilepingu kehtivuse ajal (lihtlitsents).  </w:t>
      </w:r>
    </w:p>
    <w:p w:rsidR="00CC5D47" w:rsidRDefault="00CC5D47">
      <w:pPr>
        <w:jc w:val="both"/>
        <w:rPr>
          <w:rFonts w:ascii="Verdana" w:hAnsi="Verdana"/>
          <w:sz w:val="16"/>
          <w:szCs w:val="16"/>
          <w:lang w:val="et-EE"/>
        </w:rPr>
      </w:pPr>
    </w:p>
    <w:p w:rsidR="00CC5D47" w:rsidRDefault="00F65095">
      <w:pPr>
        <w:ind w:left="720" w:hanging="720"/>
        <w:jc w:val="both"/>
        <w:rPr>
          <w:rFonts w:ascii="Verdana" w:hAnsi="Verdana"/>
          <w:sz w:val="16"/>
          <w:szCs w:val="16"/>
          <w:lang w:val="et-EE"/>
        </w:rPr>
      </w:pPr>
      <w:r>
        <w:rPr>
          <w:rFonts w:ascii="Verdana" w:hAnsi="Verdana"/>
          <w:sz w:val="16"/>
          <w:szCs w:val="16"/>
          <w:lang w:val="et-EE"/>
        </w:rPr>
        <w:t>1</w:t>
      </w:r>
      <w:r w:rsidR="00972184">
        <w:rPr>
          <w:rFonts w:ascii="Verdana" w:hAnsi="Verdana"/>
          <w:sz w:val="16"/>
          <w:szCs w:val="16"/>
          <w:lang w:val="et-EE"/>
        </w:rPr>
        <w:t>.2</w:t>
      </w:r>
      <w:r w:rsidR="00CC5D47">
        <w:rPr>
          <w:rFonts w:ascii="Verdana" w:hAnsi="Verdana"/>
          <w:sz w:val="16"/>
          <w:szCs w:val="16"/>
          <w:lang w:val="et-EE"/>
        </w:rPr>
        <w:t>.</w:t>
      </w:r>
      <w:r w:rsidR="00CC5D47">
        <w:rPr>
          <w:rFonts w:ascii="Verdana" w:hAnsi="Verdana"/>
          <w:sz w:val="16"/>
          <w:szCs w:val="16"/>
          <w:lang w:val="et-EE"/>
        </w:rPr>
        <w:tab/>
        <w:t>Litsentsisaajal on keelatud anda ETO märgi kasutusõigust kolmandate isikutele ilma ETO eelneva kirjaliku nõusolekuta.</w:t>
      </w:r>
    </w:p>
    <w:p w:rsidR="00CC5D47" w:rsidRDefault="00CC5D47">
      <w:pPr>
        <w:jc w:val="both"/>
        <w:rPr>
          <w:rFonts w:ascii="Verdana" w:hAnsi="Verdana"/>
          <w:sz w:val="16"/>
          <w:szCs w:val="16"/>
          <w:lang w:val="et-EE"/>
        </w:rPr>
      </w:pPr>
    </w:p>
    <w:p w:rsidR="00CC5D47" w:rsidRDefault="00F65095" w:rsidP="00227D94">
      <w:pPr>
        <w:ind w:left="705" w:hanging="705"/>
        <w:jc w:val="both"/>
        <w:rPr>
          <w:rFonts w:ascii="Verdana" w:hAnsi="Verdana"/>
          <w:sz w:val="16"/>
          <w:szCs w:val="16"/>
          <w:lang w:val="et-EE"/>
        </w:rPr>
      </w:pPr>
      <w:r>
        <w:rPr>
          <w:rFonts w:ascii="Verdana" w:hAnsi="Verdana"/>
          <w:sz w:val="16"/>
          <w:szCs w:val="16"/>
          <w:lang w:val="et-EE"/>
        </w:rPr>
        <w:t>1</w:t>
      </w:r>
      <w:r w:rsidR="00227D94">
        <w:rPr>
          <w:rFonts w:ascii="Verdana" w:hAnsi="Verdana"/>
          <w:sz w:val="16"/>
          <w:szCs w:val="16"/>
          <w:lang w:val="et-EE"/>
        </w:rPr>
        <w:t>.3.</w:t>
      </w:r>
      <w:r w:rsidR="00227D94">
        <w:rPr>
          <w:rFonts w:ascii="Verdana" w:hAnsi="Verdana"/>
          <w:sz w:val="16"/>
          <w:szCs w:val="16"/>
          <w:lang w:val="et-EE"/>
        </w:rPr>
        <w:tab/>
      </w:r>
      <w:r w:rsidR="00CC5D47">
        <w:rPr>
          <w:rFonts w:ascii="Verdana" w:hAnsi="Verdana"/>
          <w:sz w:val="16"/>
          <w:szCs w:val="16"/>
          <w:lang w:val="et-EE"/>
        </w:rPr>
        <w:t>ETO´l on õigus ETO märki ise kasutada ning anda seda oma äranägemise kohaselt litsentsilepingu(te) alusel kasutamiseks kolmandatele isikutele.</w:t>
      </w:r>
    </w:p>
    <w:p w:rsidR="00C54857" w:rsidRDefault="00C54857" w:rsidP="00227D94">
      <w:pPr>
        <w:ind w:left="705" w:hanging="705"/>
        <w:jc w:val="both"/>
        <w:rPr>
          <w:rFonts w:ascii="Verdana" w:hAnsi="Verdana"/>
          <w:sz w:val="16"/>
          <w:szCs w:val="16"/>
          <w:lang w:val="et-EE"/>
        </w:rPr>
      </w:pPr>
    </w:p>
    <w:p w:rsidR="00C54857" w:rsidRDefault="00C54857" w:rsidP="00C54857">
      <w:pPr>
        <w:ind w:left="720" w:hanging="720"/>
        <w:jc w:val="both"/>
        <w:rPr>
          <w:rFonts w:ascii="Verdana" w:hAnsi="Verdana"/>
          <w:sz w:val="16"/>
          <w:szCs w:val="16"/>
          <w:lang w:val="et-EE"/>
        </w:rPr>
      </w:pPr>
      <w:r>
        <w:rPr>
          <w:rFonts w:ascii="Verdana" w:hAnsi="Verdana"/>
          <w:sz w:val="16"/>
          <w:szCs w:val="16"/>
          <w:lang w:val="et-EE"/>
        </w:rPr>
        <w:t>1.4.</w:t>
      </w:r>
      <w:r>
        <w:rPr>
          <w:rFonts w:ascii="Verdana" w:hAnsi="Verdana"/>
          <w:sz w:val="16"/>
          <w:szCs w:val="16"/>
          <w:lang w:val="et-EE"/>
        </w:rPr>
        <w:tab/>
        <w:t xml:space="preserve">Tasu ETO märgi kasutamise eest sisaldub Litsentsisaaja poolt ETO-le Kliendilepingu alusel makstavas tasus </w:t>
      </w:r>
    </w:p>
    <w:p w:rsidR="00C54857" w:rsidRDefault="00C54857" w:rsidP="00C54857">
      <w:pPr>
        <w:jc w:val="both"/>
        <w:rPr>
          <w:rFonts w:ascii="Verdana" w:hAnsi="Verdana"/>
          <w:sz w:val="16"/>
          <w:szCs w:val="16"/>
          <w:lang w:val="et-EE"/>
        </w:rPr>
      </w:pPr>
    </w:p>
    <w:p w:rsidR="00CC5D47" w:rsidRDefault="00CC5D47" w:rsidP="00A915C1">
      <w:pPr>
        <w:jc w:val="both"/>
        <w:rPr>
          <w:rFonts w:ascii="Verdana" w:hAnsi="Verdana"/>
          <w:color w:val="auto"/>
          <w:sz w:val="16"/>
          <w:szCs w:val="16"/>
          <w:lang w:val="et-EE"/>
        </w:rPr>
      </w:pPr>
    </w:p>
    <w:p w:rsidR="00CC5D47" w:rsidRDefault="00CC5D47">
      <w:pPr>
        <w:jc w:val="both"/>
        <w:rPr>
          <w:rFonts w:ascii="Verdana" w:hAnsi="Verdana"/>
          <w:b/>
          <w:sz w:val="16"/>
          <w:szCs w:val="16"/>
          <w:lang w:val="et-EE"/>
        </w:rPr>
      </w:pPr>
      <w:r>
        <w:rPr>
          <w:rFonts w:ascii="Verdana" w:hAnsi="Verdana"/>
          <w:b/>
          <w:sz w:val="16"/>
          <w:szCs w:val="16"/>
          <w:lang w:val="et-EE"/>
        </w:rPr>
        <w:t>II</w:t>
      </w:r>
      <w:r>
        <w:rPr>
          <w:rFonts w:ascii="Verdana" w:hAnsi="Verdana"/>
          <w:b/>
          <w:sz w:val="16"/>
          <w:szCs w:val="16"/>
          <w:lang w:val="et-EE"/>
        </w:rPr>
        <w:tab/>
        <w:t>ETO MÄRGI TÄHENDUS JA KASUTAMISE TINGIMUSED</w:t>
      </w:r>
    </w:p>
    <w:p w:rsidR="00CC5D47" w:rsidRDefault="00CC5D47">
      <w:pPr>
        <w:jc w:val="both"/>
        <w:rPr>
          <w:rFonts w:ascii="Verdana" w:hAnsi="Verdana"/>
          <w:sz w:val="16"/>
          <w:szCs w:val="16"/>
          <w:lang w:val="et-EE"/>
        </w:rPr>
      </w:pPr>
    </w:p>
    <w:p w:rsidR="00F65095" w:rsidRDefault="007E6F95" w:rsidP="00F65095">
      <w:pPr>
        <w:ind w:left="720" w:hanging="720"/>
        <w:jc w:val="both"/>
        <w:rPr>
          <w:rFonts w:ascii="Verdana" w:hAnsi="Verdana"/>
          <w:sz w:val="16"/>
          <w:szCs w:val="16"/>
          <w:lang w:val="et-EE"/>
        </w:rPr>
      </w:pPr>
      <w:r>
        <w:rPr>
          <w:rFonts w:ascii="Verdana" w:hAnsi="Verdana"/>
          <w:sz w:val="16"/>
          <w:szCs w:val="16"/>
          <w:lang w:val="et-EE"/>
        </w:rPr>
        <w:t>2.1.</w:t>
      </w:r>
      <w:r>
        <w:rPr>
          <w:rFonts w:ascii="Verdana" w:hAnsi="Verdana"/>
          <w:sz w:val="16"/>
          <w:szCs w:val="16"/>
          <w:lang w:val="et-EE"/>
        </w:rPr>
        <w:tab/>
        <w:t>ETO märk</w:t>
      </w:r>
      <w:r w:rsidR="00F65095">
        <w:rPr>
          <w:rFonts w:ascii="Verdana" w:hAnsi="Verdana"/>
          <w:sz w:val="16"/>
          <w:szCs w:val="16"/>
          <w:lang w:val="et-EE"/>
        </w:rPr>
        <w:t xml:space="preserve"> on </w:t>
      </w:r>
      <w:r w:rsidR="00F65095">
        <w:rPr>
          <w:rFonts w:ascii="Verdana" w:hAnsi="Verdana"/>
          <w:i/>
          <w:sz w:val="16"/>
          <w:szCs w:val="16"/>
          <w:lang w:val="et-EE"/>
        </w:rPr>
        <w:t>Der Grüne Punkt</w:t>
      </w:r>
      <w:r w:rsidR="005B54BF">
        <w:rPr>
          <w:rFonts w:ascii="Verdana" w:hAnsi="Verdana"/>
          <w:i/>
          <w:sz w:val="16"/>
          <w:szCs w:val="16"/>
          <w:lang w:val="et-EE"/>
        </w:rPr>
        <w:t xml:space="preserve"> </w:t>
      </w:r>
      <w:r w:rsidR="005B54BF" w:rsidRPr="005B54BF">
        <w:rPr>
          <w:rFonts w:ascii="Verdana" w:hAnsi="Verdana"/>
          <w:sz w:val="16"/>
          <w:szCs w:val="16"/>
          <w:lang w:val="et-EE"/>
        </w:rPr>
        <w:t>(Roheline Punkt)</w:t>
      </w:r>
      <w:r w:rsidR="00F65095">
        <w:rPr>
          <w:rFonts w:ascii="Verdana" w:hAnsi="Verdana"/>
          <w:i/>
          <w:sz w:val="16"/>
          <w:szCs w:val="16"/>
          <w:lang w:val="et-EE"/>
        </w:rPr>
        <w:t xml:space="preserve"> – Duales System Deutchland AG</w:t>
      </w:r>
      <w:r w:rsidR="00F65095">
        <w:rPr>
          <w:rFonts w:ascii="Verdana" w:hAnsi="Verdana"/>
          <w:sz w:val="16"/>
          <w:szCs w:val="16"/>
          <w:lang w:val="et-EE"/>
        </w:rPr>
        <w:t xml:space="preserve">´le kuuluv figuratiivne kauba- ja teenindusmärk, mis on registreeritud riiklikus kauba- ja teenindusmärkide registris ning mille kasutamise ja edasilitsentseerimise ainuõigust Eesti Vabariigis omab ETO viimase poolt </w:t>
      </w:r>
      <w:r w:rsidR="00F65095">
        <w:rPr>
          <w:rFonts w:ascii="Verdana" w:hAnsi="Verdana"/>
          <w:i/>
          <w:sz w:val="16"/>
          <w:szCs w:val="16"/>
          <w:lang w:val="et-EE"/>
        </w:rPr>
        <w:t>Packaging Recovery Organisation Europe´ga</w:t>
      </w:r>
      <w:r w:rsidR="00F65095">
        <w:rPr>
          <w:rFonts w:ascii="Verdana" w:hAnsi="Verdana"/>
          <w:sz w:val="16"/>
          <w:szCs w:val="16"/>
          <w:lang w:val="et-EE"/>
        </w:rPr>
        <w:t xml:space="preserve"> (edaspidi nimetatud </w:t>
      </w:r>
      <w:r w:rsidR="00F65095">
        <w:rPr>
          <w:rFonts w:ascii="Verdana" w:hAnsi="Verdana"/>
          <w:i/>
          <w:sz w:val="16"/>
          <w:szCs w:val="16"/>
          <w:lang w:val="et-EE"/>
        </w:rPr>
        <w:t>PRO EUROPE</w:t>
      </w:r>
      <w:r w:rsidR="00F65095">
        <w:rPr>
          <w:rFonts w:ascii="Verdana" w:hAnsi="Verdana"/>
          <w:sz w:val="16"/>
          <w:szCs w:val="16"/>
          <w:lang w:val="et-EE"/>
        </w:rPr>
        <w:t xml:space="preserve">) sõlmitud litsentsilepingu alusel </w:t>
      </w:r>
    </w:p>
    <w:p w:rsidR="00F65095" w:rsidRDefault="00F65095" w:rsidP="00F65095">
      <w:pPr>
        <w:jc w:val="both"/>
        <w:rPr>
          <w:rFonts w:ascii="Verdana" w:hAnsi="Verdana"/>
          <w:sz w:val="16"/>
          <w:szCs w:val="16"/>
          <w:lang w:val="et-EE"/>
        </w:rPr>
      </w:pPr>
      <w:r>
        <w:rPr>
          <w:rFonts w:ascii="Verdana" w:hAnsi="Verdana"/>
          <w:sz w:val="16"/>
          <w:szCs w:val="16"/>
          <w:lang w:val="et-EE"/>
        </w:rPr>
        <w:t xml:space="preserve"> </w:t>
      </w:r>
    </w:p>
    <w:p w:rsidR="00CC5D47" w:rsidRDefault="00CC5D47" w:rsidP="00F65095">
      <w:pPr>
        <w:numPr>
          <w:ilvl w:val="1"/>
          <w:numId w:val="17"/>
        </w:numPr>
        <w:jc w:val="both"/>
        <w:rPr>
          <w:rFonts w:ascii="Verdana" w:hAnsi="Verdana"/>
          <w:sz w:val="16"/>
          <w:szCs w:val="16"/>
          <w:lang w:val="et-EE"/>
        </w:rPr>
      </w:pPr>
      <w:r>
        <w:rPr>
          <w:rFonts w:ascii="Verdana" w:hAnsi="Verdana"/>
          <w:sz w:val="16"/>
          <w:szCs w:val="16"/>
          <w:lang w:val="et-EE"/>
        </w:rPr>
        <w:t xml:space="preserve">ETO märk tähendab, et seda kasutav pakendiettevõtja osaleb ETO kogumis- ja taaskasutussüsteemis ja selle finantseerimises. ETO märk kantuna pakendile tähendab, et pakendiettevõtja osaleb vastava pakendi ja sellest tekkiva pakendijäätmete ETO poolt kokku kogumise ja taaskasutamise finantseerimises. </w:t>
      </w:r>
    </w:p>
    <w:p w:rsidR="00F65095" w:rsidRDefault="00F65095" w:rsidP="00F65095">
      <w:pPr>
        <w:ind w:left="720"/>
        <w:jc w:val="both"/>
        <w:rPr>
          <w:rFonts w:ascii="Verdana" w:hAnsi="Verdana"/>
          <w:sz w:val="16"/>
          <w:szCs w:val="16"/>
          <w:lang w:val="et-EE"/>
        </w:rPr>
      </w:pPr>
    </w:p>
    <w:p w:rsidR="00CC5D47" w:rsidRDefault="00920D24" w:rsidP="00DF41FF">
      <w:pPr>
        <w:numPr>
          <w:ilvl w:val="1"/>
          <w:numId w:val="17"/>
        </w:numPr>
        <w:jc w:val="both"/>
        <w:rPr>
          <w:rFonts w:ascii="Verdana" w:hAnsi="Verdana"/>
          <w:sz w:val="16"/>
          <w:szCs w:val="16"/>
          <w:lang w:val="et-EE"/>
        </w:rPr>
      </w:pPr>
      <w:r>
        <w:rPr>
          <w:rFonts w:ascii="Verdana" w:hAnsi="Verdana"/>
          <w:sz w:val="16"/>
          <w:szCs w:val="16"/>
          <w:lang w:val="et-EE"/>
        </w:rPr>
        <w:t xml:space="preserve">Litsentsileping annab </w:t>
      </w:r>
      <w:r w:rsidR="00CC5D47">
        <w:rPr>
          <w:rFonts w:ascii="Verdana" w:hAnsi="Verdana"/>
          <w:sz w:val="16"/>
          <w:szCs w:val="16"/>
          <w:lang w:val="et-EE"/>
        </w:rPr>
        <w:t>Litsentsisaajal</w:t>
      </w:r>
      <w:r>
        <w:rPr>
          <w:rFonts w:ascii="Verdana" w:hAnsi="Verdana"/>
          <w:sz w:val="16"/>
          <w:szCs w:val="16"/>
          <w:lang w:val="et-EE"/>
        </w:rPr>
        <w:t>e</w:t>
      </w:r>
      <w:r w:rsidR="00CC5D47">
        <w:rPr>
          <w:rFonts w:ascii="Verdana" w:hAnsi="Verdana"/>
          <w:sz w:val="16"/>
          <w:szCs w:val="16"/>
          <w:lang w:val="et-EE"/>
        </w:rPr>
        <w:t xml:space="preserve"> õigus</w:t>
      </w:r>
      <w:r>
        <w:rPr>
          <w:rFonts w:ascii="Verdana" w:hAnsi="Verdana"/>
          <w:sz w:val="16"/>
          <w:szCs w:val="16"/>
          <w:lang w:val="et-EE"/>
        </w:rPr>
        <w:t>e</w:t>
      </w:r>
      <w:r w:rsidR="00CC5D47">
        <w:rPr>
          <w:rFonts w:ascii="Verdana" w:hAnsi="Verdana"/>
          <w:sz w:val="16"/>
          <w:szCs w:val="16"/>
          <w:lang w:val="et-EE"/>
        </w:rPr>
        <w:t xml:space="preserve"> kasutada ETO märki üksnes Eesti Vabariigi territooriumil. </w:t>
      </w:r>
      <w:r w:rsidR="00CC5D47">
        <w:rPr>
          <w:rFonts w:ascii="Verdana" w:hAnsi="Verdana"/>
          <w:i/>
          <w:sz w:val="16"/>
          <w:szCs w:val="16"/>
          <w:lang w:val="et-EE"/>
        </w:rPr>
        <w:t>Der Grüne Punkt</w:t>
      </w:r>
      <w:r w:rsidR="00CC5D47">
        <w:rPr>
          <w:rFonts w:ascii="Verdana" w:hAnsi="Verdana"/>
          <w:sz w:val="16"/>
          <w:szCs w:val="16"/>
          <w:lang w:val="et-EE"/>
        </w:rPr>
        <w:t xml:space="preserve"> märgi kasutamiseks väljaspool Eesti Vabariigi territooriumi võib Litsentsisaaja vajada nõusolekut välisriigi taaskasutusorganisatsioonilt, juhul kui see omab </w:t>
      </w:r>
      <w:r w:rsidR="00CC5D47">
        <w:rPr>
          <w:rFonts w:ascii="Verdana" w:hAnsi="Verdana"/>
          <w:i/>
          <w:sz w:val="16"/>
          <w:szCs w:val="16"/>
          <w:lang w:val="et-EE"/>
        </w:rPr>
        <w:t>Der Grüne Punkt</w:t>
      </w:r>
      <w:r w:rsidR="00CC5D47">
        <w:rPr>
          <w:rFonts w:ascii="Verdana" w:hAnsi="Verdana"/>
          <w:sz w:val="16"/>
          <w:szCs w:val="16"/>
          <w:lang w:val="et-EE"/>
        </w:rPr>
        <w:t xml:space="preserve"> märgi kasutusõigust antud territooriumil.</w:t>
      </w:r>
      <w:r w:rsidR="00D05AD7">
        <w:rPr>
          <w:rFonts w:ascii="Verdana" w:hAnsi="Verdana"/>
          <w:vanish/>
          <w:sz w:val="16"/>
          <w:szCs w:val="16"/>
          <w:lang w:val="et-EE"/>
        </w:rPr>
        <w:cr/>
        <w:t xml:space="preserve">äesolengu alusel on e La sellesnd email from MWe Exhibit; </w:t>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D05AD7">
        <w:rPr>
          <w:rFonts w:ascii="Verdana" w:hAnsi="Verdana"/>
          <w:vanish/>
          <w:sz w:val="16"/>
          <w:szCs w:val="16"/>
          <w:lang w:val="et-EE"/>
        </w:rPr>
        <w:pgNum/>
      </w:r>
      <w:r w:rsidR="00CC5D47">
        <w:rPr>
          <w:rFonts w:ascii="Verdana" w:hAnsi="Verdana"/>
          <w:sz w:val="16"/>
          <w:szCs w:val="16"/>
          <w:lang w:val="et-EE"/>
        </w:rPr>
        <w:t xml:space="preserve"> </w:t>
      </w:r>
    </w:p>
    <w:p w:rsidR="00DF41FF" w:rsidRDefault="00DF41FF" w:rsidP="00DF41FF">
      <w:pPr>
        <w:ind w:left="720"/>
        <w:jc w:val="both"/>
        <w:rPr>
          <w:rFonts w:ascii="Verdana" w:hAnsi="Verdana"/>
          <w:sz w:val="16"/>
          <w:szCs w:val="16"/>
          <w:lang w:val="et-EE"/>
        </w:rPr>
      </w:pPr>
    </w:p>
    <w:p w:rsidR="00DF41FF" w:rsidRDefault="00CC5D47" w:rsidP="00B151F4">
      <w:pPr>
        <w:numPr>
          <w:ilvl w:val="1"/>
          <w:numId w:val="17"/>
        </w:numPr>
        <w:jc w:val="both"/>
        <w:rPr>
          <w:rFonts w:ascii="Verdana" w:hAnsi="Verdana"/>
          <w:sz w:val="16"/>
          <w:szCs w:val="16"/>
          <w:lang w:val="et-EE"/>
        </w:rPr>
      </w:pPr>
      <w:r>
        <w:rPr>
          <w:rFonts w:ascii="Verdana" w:hAnsi="Verdana"/>
          <w:sz w:val="16"/>
          <w:szCs w:val="16"/>
          <w:lang w:val="et-EE"/>
        </w:rPr>
        <w:lastRenderedPageBreak/>
        <w:t>Lits</w:t>
      </w:r>
      <w:r w:rsidR="00A915C1">
        <w:rPr>
          <w:rFonts w:ascii="Verdana" w:hAnsi="Verdana"/>
          <w:sz w:val="16"/>
          <w:szCs w:val="16"/>
          <w:lang w:val="et-EE"/>
        </w:rPr>
        <w:t>entsisaajal on õigus</w:t>
      </w:r>
      <w:r>
        <w:rPr>
          <w:rFonts w:ascii="Verdana" w:hAnsi="Verdana"/>
          <w:sz w:val="16"/>
          <w:szCs w:val="16"/>
          <w:lang w:val="et-EE"/>
        </w:rPr>
        <w:t xml:space="preserve"> paigutada ETO märk tema poolt sisse veetud kauba või tema poolt pakendatud kauba pakendile või selle etiketile, </w:t>
      </w:r>
      <w:r w:rsidR="00920D24">
        <w:rPr>
          <w:rFonts w:ascii="Verdana" w:hAnsi="Verdana"/>
          <w:sz w:val="16"/>
          <w:szCs w:val="16"/>
          <w:lang w:val="et-EE"/>
        </w:rPr>
        <w:t>kui selle pakendi</w:t>
      </w:r>
      <w:r>
        <w:rPr>
          <w:rFonts w:ascii="Verdana" w:hAnsi="Verdana"/>
          <w:sz w:val="16"/>
          <w:szCs w:val="16"/>
          <w:lang w:val="et-EE"/>
        </w:rPr>
        <w:t xml:space="preserve"> taaskasutamisega </w:t>
      </w:r>
      <w:r w:rsidR="00920D24">
        <w:rPr>
          <w:rFonts w:ascii="Verdana" w:hAnsi="Verdana"/>
          <w:sz w:val="16"/>
          <w:szCs w:val="16"/>
          <w:lang w:val="et-EE"/>
        </w:rPr>
        <w:t xml:space="preserve">tegeleb </w:t>
      </w:r>
      <w:r>
        <w:rPr>
          <w:rFonts w:ascii="Verdana" w:hAnsi="Verdana"/>
          <w:sz w:val="16"/>
          <w:szCs w:val="16"/>
          <w:lang w:val="et-EE"/>
        </w:rPr>
        <w:t>ETO.</w:t>
      </w:r>
    </w:p>
    <w:p w:rsidR="00B151F4" w:rsidRDefault="00B151F4" w:rsidP="002B5C98">
      <w:pPr>
        <w:ind w:left="720"/>
        <w:jc w:val="both"/>
        <w:rPr>
          <w:rFonts w:ascii="Verdana" w:hAnsi="Verdana"/>
          <w:sz w:val="16"/>
          <w:szCs w:val="16"/>
          <w:lang w:val="et-EE"/>
        </w:rPr>
      </w:pPr>
    </w:p>
    <w:p w:rsidR="00B151F4" w:rsidRDefault="00CC5D47" w:rsidP="002B5C98">
      <w:pPr>
        <w:numPr>
          <w:ilvl w:val="1"/>
          <w:numId w:val="17"/>
        </w:numPr>
        <w:jc w:val="both"/>
        <w:rPr>
          <w:rFonts w:ascii="Verdana" w:hAnsi="Verdana"/>
          <w:sz w:val="16"/>
          <w:szCs w:val="16"/>
          <w:lang w:val="et-EE"/>
        </w:rPr>
      </w:pPr>
      <w:r>
        <w:rPr>
          <w:rFonts w:ascii="Verdana" w:hAnsi="Verdana"/>
          <w:sz w:val="16"/>
          <w:szCs w:val="16"/>
          <w:lang w:val="et-EE"/>
        </w:rPr>
        <w:t>ETO´l on õigus ühepoolselt sätestada L</w:t>
      </w:r>
      <w:r w:rsidR="00920D24">
        <w:rPr>
          <w:rFonts w:ascii="Verdana" w:hAnsi="Verdana"/>
          <w:sz w:val="16"/>
          <w:szCs w:val="16"/>
          <w:lang w:val="et-EE"/>
        </w:rPr>
        <w:t>itsensil</w:t>
      </w:r>
      <w:r>
        <w:rPr>
          <w:rFonts w:ascii="Verdana" w:hAnsi="Verdana"/>
          <w:sz w:val="16"/>
          <w:szCs w:val="16"/>
          <w:lang w:val="et-EE"/>
        </w:rPr>
        <w:t>epingu lisana loetelu kaupadest/toodetest või pakendimaterjalidest, mille pakenditele/etikettidele ei tohi Litsentsisaaja paigutada ETO märki. Nimetatud loetelu muutub Litsentsisaajale siduvaks alates selle ETO poolt Litsentsisaajale esitamisest</w:t>
      </w:r>
      <w:r w:rsidR="002B689D">
        <w:rPr>
          <w:rFonts w:ascii="Verdana" w:hAnsi="Verdana"/>
          <w:sz w:val="16"/>
          <w:szCs w:val="16"/>
          <w:lang w:val="et-EE"/>
        </w:rPr>
        <w:t xml:space="preserve">. </w:t>
      </w:r>
      <w:r>
        <w:rPr>
          <w:rFonts w:ascii="Verdana" w:hAnsi="Verdana"/>
          <w:sz w:val="16"/>
          <w:szCs w:val="16"/>
          <w:lang w:val="et-EE"/>
        </w:rPr>
        <w:t xml:space="preserve">ETO märki ei tohi kanda pakenditele, mille kokkukogumist ja taaskasutamist </w:t>
      </w:r>
      <w:r w:rsidR="00C54857">
        <w:rPr>
          <w:rFonts w:ascii="Verdana" w:hAnsi="Verdana"/>
          <w:sz w:val="16"/>
          <w:szCs w:val="16"/>
          <w:lang w:val="et-EE"/>
        </w:rPr>
        <w:t xml:space="preserve">vastavalt Kliendilepingule </w:t>
      </w:r>
      <w:r>
        <w:rPr>
          <w:rFonts w:ascii="Verdana" w:hAnsi="Verdana"/>
          <w:sz w:val="16"/>
          <w:szCs w:val="16"/>
          <w:lang w:val="et-EE"/>
        </w:rPr>
        <w:t>ei korralda ETO, samuti pakenditele, mille koostisosades olevate ohtlike ainete sisaldus ei vasta kehtivate õigusaktide nõuetele. EL praktika</w:t>
      </w:r>
      <w:r w:rsidR="00DF41FF">
        <w:rPr>
          <w:rFonts w:ascii="Verdana" w:hAnsi="Verdana"/>
          <w:sz w:val="16"/>
          <w:szCs w:val="16"/>
          <w:lang w:val="et-EE"/>
        </w:rPr>
        <w:t>st lähtuvalt</w:t>
      </w:r>
      <w:r>
        <w:rPr>
          <w:rFonts w:ascii="Verdana" w:hAnsi="Verdana"/>
          <w:sz w:val="16"/>
          <w:szCs w:val="16"/>
          <w:lang w:val="et-EE"/>
        </w:rPr>
        <w:t xml:space="preserve"> ei märgistata </w:t>
      </w:r>
      <w:r>
        <w:rPr>
          <w:rFonts w:ascii="Verdana" w:hAnsi="Verdana"/>
          <w:i/>
          <w:sz w:val="16"/>
          <w:szCs w:val="16"/>
          <w:lang w:val="et-EE"/>
        </w:rPr>
        <w:t>Der Grüne Punkt</w:t>
      </w:r>
      <w:r>
        <w:rPr>
          <w:rFonts w:ascii="Verdana" w:hAnsi="Verdana"/>
          <w:sz w:val="16"/>
          <w:szCs w:val="16"/>
          <w:lang w:val="et-EE"/>
        </w:rPr>
        <w:t xml:space="preserve"> märgiga rühma- ja veopakendeid.</w:t>
      </w:r>
    </w:p>
    <w:p w:rsidR="00B151F4" w:rsidRDefault="00B151F4" w:rsidP="00920D24">
      <w:pPr>
        <w:ind w:left="720"/>
        <w:jc w:val="both"/>
        <w:rPr>
          <w:rFonts w:ascii="Verdana" w:hAnsi="Verdana"/>
          <w:sz w:val="16"/>
          <w:szCs w:val="16"/>
          <w:lang w:val="et-EE"/>
        </w:rPr>
      </w:pPr>
    </w:p>
    <w:p w:rsidR="002B5C98" w:rsidRDefault="00CC5D47" w:rsidP="002B5C98">
      <w:pPr>
        <w:numPr>
          <w:ilvl w:val="1"/>
          <w:numId w:val="17"/>
        </w:numPr>
        <w:jc w:val="both"/>
        <w:rPr>
          <w:rFonts w:ascii="Verdana" w:hAnsi="Verdana"/>
          <w:sz w:val="16"/>
          <w:szCs w:val="16"/>
          <w:lang w:val="et-EE"/>
        </w:rPr>
      </w:pPr>
      <w:r>
        <w:rPr>
          <w:rFonts w:ascii="Verdana" w:hAnsi="Verdana"/>
          <w:sz w:val="16"/>
          <w:szCs w:val="16"/>
          <w:lang w:val="et-EE"/>
        </w:rPr>
        <w:t>Litsentsisaajal on õigus ETO märki kasutada ka muul viisil kui pakenditele paigutamisega, kuid seda üksnes reklaami eesmärgil</w:t>
      </w:r>
      <w:r w:rsidR="002B5C98">
        <w:rPr>
          <w:rFonts w:ascii="Verdana" w:hAnsi="Verdana"/>
          <w:sz w:val="16"/>
          <w:szCs w:val="16"/>
          <w:lang w:val="et-EE"/>
        </w:rPr>
        <w:t xml:space="preserve"> </w:t>
      </w:r>
      <w:r>
        <w:rPr>
          <w:rFonts w:ascii="Verdana" w:hAnsi="Verdana"/>
          <w:sz w:val="16"/>
          <w:szCs w:val="16"/>
          <w:lang w:val="et-EE"/>
        </w:rPr>
        <w:t>teavita</w:t>
      </w:r>
      <w:r w:rsidR="002B5C98">
        <w:rPr>
          <w:rFonts w:ascii="Verdana" w:hAnsi="Verdana"/>
          <w:sz w:val="16"/>
          <w:szCs w:val="16"/>
          <w:lang w:val="et-EE"/>
        </w:rPr>
        <w:t>m</w:t>
      </w:r>
      <w:r>
        <w:rPr>
          <w:rFonts w:ascii="Verdana" w:hAnsi="Verdana"/>
          <w:sz w:val="16"/>
          <w:szCs w:val="16"/>
          <w:lang w:val="et-EE"/>
        </w:rPr>
        <w:t>a</w:t>
      </w:r>
      <w:r w:rsidR="002B5C98">
        <w:rPr>
          <w:rFonts w:ascii="Verdana" w:hAnsi="Verdana"/>
          <w:sz w:val="16"/>
          <w:szCs w:val="16"/>
          <w:lang w:val="et-EE"/>
        </w:rPr>
        <w:t>ks</w:t>
      </w:r>
      <w:r>
        <w:rPr>
          <w:rFonts w:ascii="Verdana" w:hAnsi="Verdana"/>
          <w:sz w:val="16"/>
          <w:szCs w:val="16"/>
          <w:lang w:val="et-EE"/>
        </w:rPr>
        <w:t xml:space="preserve"> kolmandaid isikuid asjaolust, et Litsentsisaaja osaleb ETO kogumis- ja taaskasutussüsteemis ning selle finantseerimises.</w:t>
      </w:r>
    </w:p>
    <w:p w:rsidR="00920D24" w:rsidRDefault="00920D24" w:rsidP="00920D24">
      <w:pPr>
        <w:ind w:left="720"/>
        <w:jc w:val="both"/>
        <w:rPr>
          <w:rFonts w:ascii="Verdana" w:hAnsi="Verdana"/>
          <w:sz w:val="16"/>
          <w:szCs w:val="16"/>
          <w:lang w:val="et-EE"/>
        </w:rPr>
      </w:pPr>
    </w:p>
    <w:p w:rsidR="00920D24" w:rsidRPr="00920D24" w:rsidRDefault="00920D24" w:rsidP="00920D24">
      <w:pPr>
        <w:numPr>
          <w:ilvl w:val="1"/>
          <w:numId w:val="17"/>
        </w:numPr>
        <w:jc w:val="both"/>
        <w:rPr>
          <w:rFonts w:ascii="Verdana" w:hAnsi="Verdana"/>
          <w:sz w:val="16"/>
          <w:szCs w:val="16"/>
          <w:lang w:val="et-EE"/>
        </w:rPr>
      </w:pPr>
      <w:r w:rsidRPr="00920D24">
        <w:rPr>
          <w:rFonts w:ascii="Verdana" w:hAnsi="Verdana"/>
          <w:sz w:val="16"/>
          <w:szCs w:val="16"/>
          <w:lang w:val="et-EE"/>
        </w:rPr>
        <w:t xml:space="preserve">Pooled kohustuvad hoidma ja tugevdama ETO märgi mainet. Litsentsisaaja kohustub ETO´t viivitamatult teavitama kõikidest ETO märgi rikkumistest kolmandate isikute poolt, mille osas Litsentsisaaja sai või oleks mõistlikult pidanud aru saama, et tegemist on ETO märgi rikkumisega. Pooled teevad sellise rikkumise ilmnemise korral koostööd rikkumise võimalikult kiireks kõrvaldamiseks.   </w:t>
      </w:r>
    </w:p>
    <w:p w:rsidR="002B5C98" w:rsidRDefault="002B5C98" w:rsidP="00920D24">
      <w:pPr>
        <w:ind w:left="720"/>
        <w:jc w:val="both"/>
        <w:rPr>
          <w:rFonts w:ascii="Verdana" w:hAnsi="Verdana"/>
          <w:sz w:val="16"/>
          <w:szCs w:val="16"/>
          <w:lang w:val="et-EE"/>
        </w:rPr>
      </w:pPr>
    </w:p>
    <w:p w:rsidR="00A915C1" w:rsidRDefault="00CC5D47" w:rsidP="002B5C98">
      <w:pPr>
        <w:numPr>
          <w:ilvl w:val="1"/>
          <w:numId w:val="17"/>
        </w:numPr>
        <w:jc w:val="both"/>
        <w:rPr>
          <w:rFonts w:ascii="Verdana" w:hAnsi="Verdana"/>
          <w:sz w:val="16"/>
          <w:szCs w:val="16"/>
          <w:lang w:val="et-EE"/>
        </w:rPr>
      </w:pPr>
      <w:r>
        <w:rPr>
          <w:rFonts w:ascii="Verdana" w:hAnsi="Verdana"/>
          <w:sz w:val="16"/>
          <w:szCs w:val="16"/>
          <w:lang w:val="et-EE"/>
        </w:rPr>
        <w:t>Litsentsisaaja kohustub mitte kasutama ETO märki vastuolus L</w:t>
      </w:r>
      <w:r w:rsidR="00920D24">
        <w:rPr>
          <w:rFonts w:ascii="Verdana" w:hAnsi="Verdana"/>
          <w:sz w:val="16"/>
          <w:szCs w:val="16"/>
          <w:lang w:val="et-EE"/>
        </w:rPr>
        <w:t>itsentsil</w:t>
      </w:r>
      <w:r>
        <w:rPr>
          <w:rFonts w:ascii="Verdana" w:hAnsi="Verdana"/>
          <w:sz w:val="16"/>
          <w:szCs w:val="16"/>
          <w:lang w:val="et-EE"/>
        </w:rPr>
        <w:t>epingu tingimustega. Litsentsisaaja kohustub järgima kõiki ETO poolt antud juhiseid ja ettekirjutusi ETO märgi kasutamisel, mis ei sea Litsentsisaajale L</w:t>
      </w:r>
      <w:r w:rsidR="00920D24">
        <w:rPr>
          <w:rFonts w:ascii="Verdana" w:hAnsi="Verdana"/>
          <w:sz w:val="16"/>
          <w:szCs w:val="16"/>
          <w:lang w:val="et-EE"/>
        </w:rPr>
        <w:t>itsentsil</w:t>
      </w:r>
      <w:r>
        <w:rPr>
          <w:rFonts w:ascii="Verdana" w:hAnsi="Verdana"/>
          <w:sz w:val="16"/>
          <w:szCs w:val="16"/>
          <w:lang w:val="et-EE"/>
        </w:rPr>
        <w:t>epinguga võrreldes täiendavaid kohustusi ega olemuslikult piira tema L</w:t>
      </w:r>
      <w:r w:rsidR="00920D24">
        <w:rPr>
          <w:rFonts w:ascii="Verdana" w:hAnsi="Verdana"/>
          <w:sz w:val="16"/>
          <w:szCs w:val="16"/>
          <w:lang w:val="et-EE"/>
        </w:rPr>
        <w:t>itsentsil</w:t>
      </w:r>
      <w:r>
        <w:rPr>
          <w:rFonts w:ascii="Verdana" w:hAnsi="Verdana"/>
          <w:sz w:val="16"/>
          <w:szCs w:val="16"/>
          <w:lang w:val="et-EE"/>
        </w:rPr>
        <w:t>epingust tulenevaid õigusi</w:t>
      </w:r>
      <w:r w:rsidR="00A915C1">
        <w:rPr>
          <w:rFonts w:ascii="Verdana" w:hAnsi="Verdana"/>
          <w:sz w:val="16"/>
          <w:szCs w:val="16"/>
          <w:lang w:val="et-EE"/>
        </w:rPr>
        <w:t>.</w:t>
      </w:r>
    </w:p>
    <w:p w:rsidR="002B5C98" w:rsidRDefault="002B5C98" w:rsidP="00920D24">
      <w:pPr>
        <w:ind w:left="720"/>
        <w:jc w:val="both"/>
        <w:rPr>
          <w:rFonts w:ascii="Verdana" w:hAnsi="Verdana"/>
          <w:sz w:val="16"/>
          <w:szCs w:val="16"/>
          <w:lang w:val="et-EE"/>
        </w:rPr>
      </w:pPr>
    </w:p>
    <w:p w:rsidR="00CC5D47" w:rsidRDefault="00CC5D47" w:rsidP="002B5C98">
      <w:pPr>
        <w:numPr>
          <w:ilvl w:val="1"/>
          <w:numId w:val="17"/>
        </w:numPr>
        <w:jc w:val="both"/>
        <w:rPr>
          <w:rFonts w:ascii="Verdana" w:hAnsi="Verdana"/>
          <w:sz w:val="16"/>
          <w:szCs w:val="16"/>
          <w:lang w:val="et-EE"/>
        </w:rPr>
      </w:pPr>
      <w:r>
        <w:rPr>
          <w:rFonts w:ascii="Verdana" w:hAnsi="Verdana"/>
          <w:sz w:val="16"/>
          <w:szCs w:val="16"/>
          <w:lang w:val="et-EE"/>
        </w:rPr>
        <w:t>Litsentsisaaja kohustub ETO märki kasutama kujul ja soovitavalt värvides nagu on toodud Lepingu Lisas A. Sõnalise lisandiga tohib ETO märki kasutada üksnes ETO kirjalikul nõusolekul.</w:t>
      </w:r>
    </w:p>
    <w:p w:rsidR="002B5C98" w:rsidRDefault="002B5C98" w:rsidP="002B5C98">
      <w:pPr>
        <w:ind w:left="720"/>
        <w:jc w:val="both"/>
        <w:rPr>
          <w:rFonts w:ascii="Verdana" w:hAnsi="Verdana"/>
          <w:sz w:val="16"/>
          <w:szCs w:val="16"/>
          <w:lang w:val="et-EE"/>
        </w:rPr>
      </w:pPr>
    </w:p>
    <w:p w:rsidR="00CC5D47" w:rsidRDefault="00CC5D47" w:rsidP="00920D24">
      <w:pPr>
        <w:numPr>
          <w:ilvl w:val="1"/>
          <w:numId w:val="17"/>
        </w:numPr>
        <w:jc w:val="both"/>
        <w:rPr>
          <w:rFonts w:ascii="Verdana" w:hAnsi="Verdana"/>
          <w:sz w:val="16"/>
          <w:szCs w:val="16"/>
          <w:lang w:val="et-EE"/>
        </w:rPr>
      </w:pPr>
      <w:r>
        <w:rPr>
          <w:rFonts w:ascii="Verdana" w:hAnsi="Verdana"/>
          <w:sz w:val="16"/>
          <w:szCs w:val="16"/>
          <w:lang w:val="et-EE"/>
        </w:rPr>
        <w:t xml:space="preserve">Litsentsisaaja kohustub hoiduma ETO märgi kasutamisest ükskõik millisel viisil, mis võiks kahjustada ETO ja/või </w:t>
      </w:r>
      <w:r>
        <w:rPr>
          <w:rFonts w:ascii="Verdana" w:hAnsi="Verdana"/>
          <w:i/>
          <w:sz w:val="16"/>
          <w:szCs w:val="16"/>
          <w:lang w:val="et-EE"/>
        </w:rPr>
        <w:t>Der Grüne Punkt- Duales System Deutschland</w:t>
      </w:r>
      <w:r>
        <w:rPr>
          <w:rFonts w:ascii="Verdana" w:hAnsi="Verdana"/>
          <w:sz w:val="16"/>
          <w:szCs w:val="16"/>
          <w:lang w:val="et-EE"/>
        </w:rPr>
        <w:t xml:space="preserve"> </w:t>
      </w:r>
      <w:r>
        <w:rPr>
          <w:rFonts w:ascii="Verdana" w:hAnsi="Verdana"/>
          <w:i/>
          <w:sz w:val="16"/>
          <w:szCs w:val="16"/>
          <w:lang w:val="et-EE"/>
        </w:rPr>
        <w:t xml:space="preserve">AG </w:t>
      </w:r>
      <w:r>
        <w:rPr>
          <w:rFonts w:ascii="Verdana" w:hAnsi="Verdana"/>
          <w:sz w:val="16"/>
          <w:szCs w:val="16"/>
          <w:lang w:val="et-EE"/>
        </w:rPr>
        <w:t xml:space="preserve">ja/või </w:t>
      </w:r>
      <w:r>
        <w:rPr>
          <w:rFonts w:ascii="Verdana" w:hAnsi="Verdana"/>
          <w:i/>
          <w:sz w:val="16"/>
          <w:szCs w:val="16"/>
          <w:lang w:val="et-EE"/>
        </w:rPr>
        <w:t>PRO EUROPE</w:t>
      </w:r>
      <w:r>
        <w:rPr>
          <w:rFonts w:ascii="Verdana" w:hAnsi="Verdana"/>
          <w:sz w:val="16"/>
          <w:szCs w:val="16"/>
          <w:lang w:val="et-EE"/>
        </w:rPr>
        <w:t xml:space="preserve"> </w:t>
      </w:r>
      <w:r w:rsidR="00920D24">
        <w:rPr>
          <w:rFonts w:ascii="Verdana" w:hAnsi="Verdana"/>
          <w:sz w:val="16"/>
          <w:szCs w:val="16"/>
          <w:lang w:val="et-EE"/>
        </w:rPr>
        <w:t xml:space="preserve">huve või </w:t>
      </w:r>
      <w:r>
        <w:rPr>
          <w:rFonts w:ascii="Verdana" w:hAnsi="Verdana"/>
          <w:sz w:val="16"/>
          <w:szCs w:val="16"/>
          <w:lang w:val="et-EE"/>
        </w:rPr>
        <w:t xml:space="preserve">head nime. Litsentsisaaja kohustub hoiduma mistahes tegevusest/toimingutest, mis toovad kaasa või võivad kaasa tuua ETO märgi või muu </w:t>
      </w:r>
      <w:r>
        <w:rPr>
          <w:rFonts w:ascii="Verdana" w:hAnsi="Verdana"/>
          <w:i/>
          <w:sz w:val="16"/>
          <w:szCs w:val="16"/>
          <w:lang w:val="et-EE"/>
        </w:rPr>
        <w:t>Der Grüne Punkt – Duales System Deutchland AG´le</w:t>
      </w:r>
      <w:r>
        <w:rPr>
          <w:rFonts w:ascii="Verdana" w:hAnsi="Verdana"/>
          <w:sz w:val="16"/>
          <w:szCs w:val="16"/>
          <w:lang w:val="et-EE"/>
        </w:rPr>
        <w:t xml:space="preserve"> kuuluva märgi maine</w:t>
      </w:r>
      <w:r w:rsidR="00920D24">
        <w:rPr>
          <w:rFonts w:ascii="Verdana" w:hAnsi="Verdana"/>
          <w:sz w:val="16"/>
          <w:szCs w:val="16"/>
          <w:lang w:val="et-EE"/>
        </w:rPr>
        <w:t xml:space="preserve"> või</w:t>
      </w:r>
      <w:r>
        <w:rPr>
          <w:rFonts w:ascii="Verdana" w:hAnsi="Verdana"/>
          <w:sz w:val="16"/>
          <w:szCs w:val="16"/>
          <w:lang w:val="et-EE"/>
        </w:rPr>
        <w:t xml:space="preserve"> selle eristusvõime kahjustumise või </w:t>
      </w:r>
      <w:r w:rsidR="00920D24">
        <w:rPr>
          <w:rFonts w:ascii="Verdana" w:hAnsi="Verdana"/>
          <w:sz w:val="16"/>
          <w:szCs w:val="16"/>
          <w:lang w:val="et-EE"/>
        </w:rPr>
        <w:t xml:space="preserve">märgi </w:t>
      </w:r>
      <w:r>
        <w:rPr>
          <w:rFonts w:ascii="Verdana" w:hAnsi="Verdana"/>
          <w:sz w:val="16"/>
          <w:szCs w:val="16"/>
          <w:lang w:val="et-EE"/>
        </w:rPr>
        <w:t>väärtuse vähenemise.</w:t>
      </w:r>
    </w:p>
    <w:p w:rsidR="002B5C98" w:rsidRDefault="002B5C98" w:rsidP="00920D24">
      <w:pPr>
        <w:ind w:left="720"/>
        <w:jc w:val="both"/>
        <w:rPr>
          <w:rFonts w:ascii="Verdana" w:hAnsi="Verdana"/>
          <w:sz w:val="16"/>
          <w:szCs w:val="16"/>
          <w:lang w:val="et-EE"/>
        </w:rPr>
      </w:pPr>
    </w:p>
    <w:p w:rsidR="00CC5D47" w:rsidRDefault="00CC5D47" w:rsidP="002B5C98">
      <w:pPr>
        <w:numPr>
          <w:ilvl w:val="1"/>
          <w:numId w:val="17"/>
        </w:numPr>
        <w:jc w:val="both"/>
        <w:rPr>
          <w:rFonts w:ascii="Verdana" w:hAnsi="Verdana"/>
          <w:sz w:val="16"/>
          <w:szCs w:val="16"/>
          <w:lang w:val="et-EE"/>
        </w:rPr>
      </w:pPr>
      <w:r>
        <w:rPr>
          <w:rFonts w:ascii="Verdana" w:hAnsi="Verdana"/>
          <w:sz w:val="16"/>
          <w:szCs w:val="16"/>
          <w:lang w:val="et-EE"/>
        </w:rPr>
        <w:t>Litsentsisaaja kohustub mitte registreerima ETO mär</w:t>
      </w:r>
      <w:r w:rsidR="00920D24">
        <w:rPr>
          <w:rFonts w:ascii="Verdana" w:hAnsi="Verdana"/>
          <w:sz w:val="16"/>
          <w:szCs w:val="16"/>
          <w:lang w:val="et-EE"/>
        </w:rPr>
        <w:t>k</w:t>
      </w:r>
      <w:r>
        <w:rPr>
          <w:rFonts w:ascii="Verdana" w:hAnsi="Verdana"/>
          <w:sz w:val="16"/>
          <w:szCs w:val="16"/>
          <w:lang w:val="et-EE"/>
        </w:rPr>
        <w:t xml:space="preserve">i või ETO märgiga sarnaseid või assotsieeruvaid või ETO märki sisaldavaid kaubamärke, etikette, kaubatähiseid või muid tähiseid või nende osasid enda nimele. </w:t>
      </w:r>
    </w:p>
    <w:p w:rsidR="00CC5D47" w:rsidRDefault="00CC5D47">
      <w:pPr>
        <w:jc w:val="both"/>
        <w:rPr>
          <w:rFonts w:ascii="Verdana" w:hAnsi="Verdana"/>
          <w:bCs/>
          <w:sz w:val="16"/>
          <w:szCs w:val="16"/>
          <w:lang w:val="et-EE"/>
        </w:rPr>
      </w:pPr>
    </w:p>
    <w:p w:rsidR="00CC5D47" w:rsidRDefault="00CC5D47">
      <w:pPr>
        <w:jc w:val="both"/>
        <w:rPr>
          <w:rFonts w:ascii="Verdana" w:hAnsi="Verdana"/>
          <w:bCs/>
          <w:sz w:val="16"/>
          <w:szCs w:val="16"/>
          <w:lang w:val="et-EE"/>
        </w:rPr>
      </w:pPr>
    </w:p>
    <w:p w:rsidR="00CC5D47" w:rsidRDefault="00CC5D47">
      <w:pPr>
        <w:pStyle w:val="Heading2"/>
        <w:rPr>
          <w:rFonts w:ascii="Verdana" w:hAnsi="Verdana"/>
          <w:b/>
          <w:sz w:val="16"/>
          <w:szCs w:val="16"/>
          <w:lang w:val="et-EE"/>
        </w:rPr>
      </w:pPr>
      <w:r>
        <w:rPr>
          <w:rFonts w:ascii="Verdana" w:hAnsi="Verdana"/>
          <w:b/>
          <w:sz w:val="16"/>
          <w:szCs w:val="16"/>
          <w:lang w:val="et-EE"/>
        </w:rPr>
        <w:t>I</w:t>
      </w:r>
      <w:r w:rsidR="00920D24">
        <w:rPr>
          <w:rFonts w:ascii="Verdana" w:hAnsi="Verdana"/>
          <w:b/>
          <w:sz w:val="16"/>
          <w:szCs w:val="16"/>
          <w:lang w:val="et-EE"/>
        </w:rPr>
        <w:t>II</w:t>
      </w:r>
      <w:r>
        <w:rPr>
          <w:rFonts w:ascii="Verdana" w:hAnsi="Verdana"/>
          <w:b/>
          <w:sz w:val="16"/>
          <w:szCs w:val="16"/>
          <w:lang w:val="et-EE"/>
        </w:rPr>
        <w:tab/>
        <w:t>LEPINGU KEHTIVUS</w:t>
      </w:r>
      <w:r w:rsidR="002B5C98">
        <w:rPr>
          <w:rFonts w:ascii="Verdana" w:hAnsi="Verdana"/>
          <w:b/>
          <w:sz w:val="16"/>
          <w:szCs w:val="16"/>
          <w:lang w:val="et-EE"/>
        </w:rPr>
        <w:t xml:space="preserve"> JA ÜLESÜTLEMINE</w:t>
      </w:r>
    </w:p>
    <w:p w:rsidR="00CC5D47" w:rsidRDefault="00CC5D47">
      <w:pPr>
        <w:jc w:val="both"/>
        <w:rPr>
          <w:rFonts w:ascii="Verdana" w:hAnsi="Verdana"/>
          <w:sz w:val="16"/>
          <w:szCs w:val="16"/>
          <w:lang w:val="et-EE"/>
        </w:rPr>
      </w:pPr>
    </w:p>
    <w:p w:rsidR="00CC5D47" w:rsidRPr="00920D24" w:rsidRDefault="00920D24" w:rsidP="00920D24">
      <w:pPr>
        <w:pStyle w:val="ListParagraph"/>
        <w:numPr>
          <w:ilvl w:val="1"/>
          <w:numId w:val="18"/>
        </w:numPr>
        <w:jc w:val="both"/>
        <w:rPr>
          <w:rFonts w:ascii="Verdana" w:hAnsi="Verdana"/>
          <w:sz w:val="16"/>
          <w:szCs w:val="16"/>
          <w:lang w:val="et-EE"/>
        </w:rPr>
      </w:pPr>
      <w:r w:rsidRPr="00920D24">
        <w:rPr>
          <w:rFonts w:ascii="Verdana" w:hAnsi="Verdana"/>
          <w:sz w:val="16"/>
          <w:szCs w:val="16"/>
          <w:lang w:val="et-EE"/>
        </w:rPr>
        <w:t>Litsentsileping jõustub arvates kliendilepingu jõustumisest ning kehtib määramata tähtajaga</w:t>
      </w:r>
      <w:r>
        <w:rPr>
          <w:rFonts w:ascii="Verdana" w:hAnsi="Verdana"/>
          <w:sz w:val="16"/>
          <w:szCs w:val="16"/>
          <w:lang w:val="et-EE"/>
        </w:rPr>
        <w:t>.</w:t>
      </w:r>
    </w:p>
    <w:p w:rsidR="00CC5D47" w:rsidRDefault="00CC5D47">
      <w:pPr>
        <w:rPr>
          <w:rFonts w:ascii="Verdana" w:hAnsi="Verdana"/>
          <w:sz w:val="16"/>
          <w:szCs w:val="16"/>
          <w:lang w:val="et-EE"/>
        </w:rPr>
      </w:pPr>
    </w:p>
    <w:p w:rsidR="00920D24" w:rsidRPr="00920D24" w:rsidRDefault="00920D24" w:rsidP="00920D24">
      <w:pPr>
        <w:pStyle w:val="ListParagraph"/>
        <w:numPr>
          <w:ilvl w:val="1"/>
          <w:numId w:val="18"/>
        </w:numPr>
        <w:jc w:val="both"/>
        <w:rPr>
          <w:rFonts w:ascii="Verdana" w:hAnsi="Verdana"/>
          <w:b/>
          <w:sz w:val="16"/>
          <w:szCs w:val="16"/>
          <w:lang w:val="et-EE"/>
        </w:rPr>
      </w:pPr>
      <w:r w:rsidRPr="00920D24">
        <w:rPr>
          <w:rFonts w:ascii="Verdana" w:hAnsi="Verdana"/>
          <w:sz w:val="16"/>
          <w:szCs w:val="16"/>
          <w:lang w:val="et-EE"/>
        </w:rPr>
        <w:t>Pool</w:t>
      </w:r>
      <w:r>
        <w:rPr>
          <w:rFonts w:ascii="Verdana" w:hAnsi="Verdana"/>
          <w:sz w:val="16"/>
          <w:szCs w:val="16"/>
          <w:lang w:val="et-EE"/>
        </w:rPr>
        <w:t>tel on õigus Leping</w:t>
      </w:r>
      <w:r w:rsidRPr="00920D24">
        <w:rPr>
          <w:rFonts w:ascii="Verdana" w:hAnsi="Verdana"/>
          <w:sz w:val="16"/>
          <w:szCs w:val="16"/>
          <w:lang w:val="et-EE"/>
        </w:rPr>
        <w:t xml:space="preserve"> korraliselt üles öelda, </w:t>
      </w:r>
      <w:r w:rsidR="00F44A1E">
        <w:rPr>
          <w:rFonts w:ascii="Verdana" w:hAnsi="Verdana"/>
          <w:sz w:val="16"/>
          <w:szCs w:val="16"/>
          <w:lang w:val="et-EE"/>
        </w:rPr>
        <w:t>teatades sellest ette vähemalt 3</w:t>
      </w:r>
      <w:r w:rsidRPr="00920D24">
        <w:rPr>
          <w:rFonts w:ascii="Verdana" w:hAnsi="Verdana"/>
          <w:sz w:val="16"/>
          <w:szCs w:val="16"/>
          <w:lang w:val="et-EE"/>
        </w:rPr>
        <w:t xml:space="preserve"> (k</w:t>
      </w:r>
      <w:r w:rsidR="00F44A1E">
        <w:rPr>
          <w:rFonts w:ascii="Verdana" w:hAnsi="Verdana"/>
          <w:sz w:val="16"/>
          <w:szCs w:val="16"/>
          <w:lang w:val="et-EE"/>
        </w:rPr>
        <w:t>olm</w:t>
      </w:r>
      <w:r w:rsidRPr="00920D24">
        <w:rPr>
          <w:rFonts w:ascii="Verdana" w:hAnsi="Verdana"/>
          <w:sz w:val="16"/>
          <w:szCs w:val="16"/>
          <w:lang w:val="et-EE"/>
        </w:rPr>
        <w:t>) kalendrikuud.</w:t>
      </w:r>
    </w:p>
    <w:p w:rsidR="00920D24" w:rsidRPr="00920D24" w:rsidRDefault="00920D24" w:rsidP="00920D24">
      <w:pPr>
        <w:rPr>
          <w:b/>
          <w:lang w:val="et-EE"/>
        </w:rPr>
      </w:pPr>
    </w:p>
    <w:p w:rsidR="00CC5D47" w:rsidRPr="00920D24" w:rsidRDefault="00920D24" w:rsidP="00920D24">
      <w:pPr>
        <w:pStyle w:val="ListParagraph"/>
        <w:numPr>
          <w:ilvl w:val="1"/>
          <w:numId w:val="18"/>
        </w:numPr>
        <w:jc w:val="both"/>
        <w:rPr>
          <w:rFonts w:ascii="Verdana" w:hAnsi="Verdana"/>
          <w:b/>
          <w:sz w:val="16"/>
          <w:szCs w:val="16"/>
          <w:lang w:val="et-EE"/>
        </w:rPr>
      </w:pPr>
      <w:r>
        <w:rPr>
          <w:rFonts w:ascii="Verdana" w:hAnsi="Verdana"/>
          <w:sz w:val="16"/>
          <w:szCs w:val="16"/>
          <w:lang w:val="et-EE"/>
        </w:rPr>
        <w:t xml:space="preserve">Pooltel </w:t>
      </w:r>
      <w:r w:rsidR="00CC5D47" w:rsidRPr="00920D24">
        <w:rPr>
          <w:rFonts w:ascii="Verdana" w:hAnsi="Verdana"/>
          <w:sz w:val="16"/>
          <w:szCs w:val="16"/>
          <w:lang w:val="et-EE"/>
        </w:rPr>
        <w:t>on õigus L</w:t>
      </w:r>
      <w:r>
        <w:rPr>
          <w:rFonts w:ascii="Verdana" w:hAnsi="Verdana"/>
          <w:sz w:val="16"/>
          <w:szCs w:val="16"/>
          <w:lang w:val="et-EE"/>
        </w:rPr>
        <w:t>itsentsil</w:t>
      </w:r>
      <w:r w:rsidR="00CC5D47" w:rsidRPr="00920D24">
        <w:rPr>
          <w:rFonts w:ascii="Verdana" w:hAnsi="Verdana"/>
          <w:sz w:val="16"/>
          <w:szCs w:val="16"/>
          <w:lang w:val="et-EE"/>
        </w:rPr>
        <w:t xml:space="preserve">eping erakorraliselt üles öelda, kui </w:t>
      </w:r>
      <w:r>
        <w:rPr>
          <w:rFonts w:ascii="Verdana" w:hAnsi="Verdana"/>
          <w:sz w:val="16"/>
          <w:szCs w:val="16"/>
          <w:lang w:val="et-EE"/>
        </w:rPr>
        <w:t>teine Pool</w:t>
      </w:r>
      <w:r w:rsidR="00CC5D47" w:rsidRPr="00920D24">
        <w:rPr>
          <w:rFonts w:ascii="Verdana" w:hAnsi="Verdana"/>
          <w:sz w:val="16"/>
          <w:szCs w:val="16"/>
          <w:lang w:val="et-EE"/>
        </w:rPr>
        <w:t xml:space="preserve"> on oluliselt rikkunud ükskõik millist Litsentsilepingust ja/või </w:t>
      </w:r>
      <w:r w:rsidR="00C54857">
        <w:rPr>
          <w:rFonts w:ascii="Verdana" w:hAnsi="Verdana"/>
          <w:sz w:val="16"/>
          <w:szCs w:val="16"/>
          <w:lang w:val="et-EE"/>
        </w:rPr>
        <w:t>K</w:t>
      </w:r>
      <w:r w:rsidR="00CC5D47" w:rsidRPr="00920D24">
        <w:rPr>
          <w:rFonts w:ascii="Verdana" w:hAnsi="Verdana"/>
          <w:sz w:val="16"/>
          <w:szCs w:val="16"/>
          <w:lang w:val="et-EE"/>
        </w:rPr>
        <w:t xml:space="preserve">liendilepingust tulenevat kohustust ning ei ole rikkumist kõrvaldanud </w:t>
      </w:r>
      <w:r>
        <w:rPr>
          <w:rFonts w:ascii="Verdana" w:hAnsi="Verdana"/>
          <w:sz w:val="16"/>
          <w:szCs w:val="16"/>
          <w:lang w:val="et-EE"/>
        </w:rPr>
        <w:t>teise Poole</w:t>
      </w:r>
      <w:r w:rsidR="00CC5D47" w:rsidRPr="00920D24">
        <w:rPr>
          <w:rFonts w:ascii="Verdana" w:hAnsi="Verdana"/>
          <w:sz w:val="16"/>
          <w:szCs w:val="16"/>
          <w:lang w:val="et-EE"/>
        </w:rPr>
        <w:t xml:space="preserve"> pool</w:t>
      </w:r>
      <w:r>
        <w:rPr>
          <w:rFonts w:ascii="Verdana" w:hAnsi="Verdana"/>
          <w:sz w:val="16"/>
          <w:szCs w:val="16"/>
          <w:lang w:val="et-EE"/>
        </w:rPr>
        <w:t>t</w:t>
      </w:r>
      <w:r w:rsidR="00CC5D47" w:rsidRPr="00920D24">
        <w:rPr>
          <w:rFonts w:ascii="Verdana" w:hAnsi="Verdana"/>
          <w:sz w:val="16"/>
          <w:szCs w:val="16"/>
          <w:lang w:val="et-EE"/>
        </w:rPr>
        <w:t xml:space="preserve"> määratud mõistliku tähtaja jooksul. ETO’l on õigus Litsentsileping erakorraliselt üles öelda ilma rikkumise kõrvaldamiseks tähtaega andmata, kui Litsentsisaaja on oluliselt rikkunud Litsentsilepingu punktis II sätestatud kohustust.</w:t>
      </w:r>
    </w:p>
    <w:p w:rsidR="00920D24" w:rsidRPr="00920D24" w:rsidRDefault="00920D24" w:rsidP="00920D24">
      <w:pPr>
        <w:rPr>
          <w:b/>
          <w:lang w:val="et-EE"/>
        </w:rPr>
      </w:pPr>
    </w:p>
    <w:p w:rsidR="00920D24" w:rsidRPr="00920D24" w:rsidRDefault="00920D24" w:rsidP="00920D24">
      <w:pPr>
        <w:pStyle w:val="ListParagraph"/>
        <w:numPr>
          <w:ilvl w:val="1"/>
          <w:numId w:val="18"/>
        </w:numPr>
        <w:jc w:val="both"/>
        <w:rPr>
          <w:rFonts w:ascii="Verdana" w:hAnsi="Verdana"/>
          <w:b/>
          <w:sz w:val="16"/>
          <w:szCs w:val="16"/>
          <w:lang w:val="et-EE"/>
        </w:rPr>
      </w:pPr>
      <w:r>
        <w:rPr>
          <w:rFonts w:ascii="Verdana" w:hAnsi="Verdana"/>
          <w:sz w:val="16"/>
          <w:szCs w:val="16"/>
          <w:lang w:val="et-EE"/>
        </w:rPr>
        <w:t xml:space="preserve">Litsentsileping lõpeb automaatselt hetkel, mil lõpeb </w:t>
      </w:r>
      <w:r w:rsidR="00C54857">
        <w:rPr>
          <w:rFonts w:ascii="Verdana" w:hAnsi="Verdana"/>
          <w:sz w:val="16"/>
          <w:szCs w:val="16"/>
          <w:lang w:val="et-EE"/>
        </w:rPr>
        <w:t>K</w:t>
      </w:r>
      <w:r w:rsidR="00CC5D47" w:rsidRPr="00920D24">
        <w:rPr>
          <w:rFonts w:ascii="Verdana" w:hAnsi="Verdana"/>
          <w:sz w:val="16"/>
          <w:szCs w:val="16"/>
          <w:lang w:val="et-EE"/>
        </w:rPr>
        <w:t xml:space="preserve">liendileping või ETO ja </w:t>
      </w:r>
      <w:r w:rsidR="00CC5D47" w:rsidRPr="00920D24">
        <w:rPr>
          <w:rFonts w:ascii="Verdana" w:hAnsi="Verdana"/>
          <w:i/>
          <w:sz w:val="16"/>
          <w:szCs w:val="16"/>
          <w:lang w:val="et-EE"/>
        </w:rPr>
        <w:t xml:space="preserve">PRO EUROPE´i </w:t>
      </w:r>
      <w:r w:rsidR="00CC5D47" w:rsidRPr="00920D24">
        <w:rPr>
          <w:rFonts w:ascii="Verdana" w:hAnsi="Verdana"/>
          <w:sz w:val="16"/>
          <w:szCs w:val="16"/>
          <w:lang w:val="et-EE"/>
        </w:rPr>
        <w:t>vahel sõlmitud ETO märgi litsentsileping.</w:t>
      </w:r>
    </w:p>
    <w:p w:rsidR="00920D24" w:rsidRPr="00920D24" w:rsidRDefault="00920D24" w:rsidP="00920D24">
      <w:pPr>
        <w:pStyle w:val="ListParagraph"/>
        <w:rPr>
          <w:rFonts w:ascii="Verdana" w:hAnsi="Verdana"/>
          <w:sz w:val="16"/>
          <w:szCs w:val="16"/>
          <w:lang w:val="et-EE"/>
        </w:rPr>
      </w:pPr>
    </w:p>
    <w:p w:rsidR="00CC5D47" w:rsidRPr="00920D24" w:rsidRDefault="00CC5D47" w:rsidP="00920D24">
      <w:pPr>
        <w:pStyle w:val="ListParagraph"/>
        <w:numPr>
          <w:ilvl w:val="1"/>
          <w:numId w:val="18"/>
        </w:numPr>
        <w:jc w:val="both"/>
        <w:rPr>
          <w:rFonts w:ascii="Verdana" w:hAnsi="Verdana"/>
          <w:b/>
          <w:sz w:val="16"/>
          <w:szCs w:val="16"/>
          <w:lang w:val="et-EE"/>
        </w:rPr>
      </w:pPr>
      <w:r w:rsidRPr="00920D24">
        <w:rPr>
          <w:rFonts w:ascii="Verdana" w:hAnsi="Verdana"/>
          <w:sz w:val="16"/>
          <w:szCs w:val="16"/>
          <w:lang w:val="et-EE"/>
        </w:rPr>
        <w:t>Litsentsilepingu lõppemisest alates ei tohi Litsentsisaaja ETO märki enam kasutada, kusjuures Litsentsisaaja poolt enne Lepingu lõppemist pakenditele kantud ETO märke ei ole Litsentsisaajal kohustust kõrvaldada ning selliselt märgistatud kauba võib Litsentsisaaja müüa või muul viisil võõrandada või oma tarbeks kasutada.</w:t>
      </w:r>
      <w:r w:rsidRPr="00920D24">
        <w:rPr>
          <w:rFonts w:ascii="Verdana" w:hAnsi="Verdana"/>
          <w:i/>
          <w:sz w:val="16"/>
          <w:szCs w:val="16"/>
          <w:lang w:val="et-EE"/>
        </w:rPr>
        <w:t xml:space="preserve"> </w:t>
      </w:r>
      <w:r w:rsidRPr="00920D24">
        <w:rPr>
          <w:rFonts w:ascii="Verdana" w:hAnsi="Verdana"/>
          <w:sz w:val="16"/>
          <w:szCs w:val="16"/>
          <w:lang w:val="et-EE"/>
        </w:rPr>
        <w:t xml:space="preserve">ETO kirjalikul nõusolekul võib Litsentsisaaja jätkata ETO märgi kasutamist ETO poolt sätestatud tähtaja jooksul. </w:t>
      </w:r>
    </w:p>
    <w:p w:rsidR="00CC5D47" w:rsidRDefault="00CC5D47">
      <w:pPr>
        <w:ind w:left="708"/>
        <w:jc w:val="both"/>
        <w:rPr>
          <w:rFonts w:ascii="Verdana" w:hAnsi="Verdana"/>
          <w:sz w:val="16"/>
          <w:szCs w:val="16"/>
          <w:lang w:val="et-EE"/>
        </w:rPr>
      </w:pPr>
    </w:p>
    <w:p w:rsidR="00CC5D47" w:rsidRDefault="00CC5D47">
      <w:pPr>
        <w:rPr>
          <w:rFonts w:ascii="Verdana" w:hAnsi="Verdana"/>
          <w:sz w:val="16"/>
          <w:szCs w:val="16"/>
          <w:lang w:val="et-EE"/>
        </w:rPr>
      </w:pPr>
    </w:p>
    <w:p w:rsidR="00CC5D47" w:rsidRDefault="00920D24">
      <w:pPr>
        <w:jc w:val="both"/>
        <w:rPr>
          <w:rFonts w:ascii="Verdana" w:hAnsi="Verdana"/>
          <w:b/>
          <w:sz w:val="16"/>
          <w:szCs w:val="16"/>
          <w:lang w:val="et-EE"/>
        </w:rPr>
      </w:pPr>
      <w:r>
        <w:rPr>
          <w:rFonts w:ascii="Verdana" w:hAnsi="Verdana"/>
          <w:b/>
          <w:sz w:val="16"/>
          <w:szCs w:val="16"/>
          <w:lang w:val="et-EE"/>
        </w:rPr>
        <w:t>IV</w:t>
      </w:r>
      <w:r w:rsidR="00CC5D47">
        <w:rPr>
          <w:rFonts w:ascii="Verdana" w:hAnsi="Verdana"/>
          <w:b/>
          <w:sz w:val="16"/>
          <w:szCs w:val="16"/>
          <w:lang w:val="et-EE"/>
        </w:rPr>
        <w:tab/>
        <w:t>LEPINGU LISAD</w:t>
      </w:r>
    </w:p>
    <w:p w:rsidR="00CC5D47" w:rsidRDefault="00CC5D47">
      <w:pPr>
        <w:jc w:val="both"/>
        <w:rPr>
          <w:rFonts w:ascii="Verdana" w:hAnsi="Verdana"/>
          <w:sz w:val="16"/>
          <w:szCs w:val="16"/>
          <w:lang w:val="et-EE"/>
        </w:rPr>
      </w:pPr>
    </w:p>
    <w:p w:rsidR="00CC5D47" w:rsidRDefault="00920D24">
      <w:pPr>
        <w:jc w:val="both"/>
        <w:rPr>
          <w:rFonts w:ascii="Verdana" w:hAnsi="Verdana"/>
          <w:sz w:val="16"/>
          <w:szCs w:val="16"/>
          <w:lang w:val="et-EE"/>
        </w:rPr>
      </w:pPr>
      <w:r>
        <w:rPr>
          <w:rFonts w:ascii="Verdana" w:hAnsi="Verdana"/>
          <w:sz w:val="16"/>
          <w:szCs w:val="16"/>
          <w:lang w:val="et-EE"/>
        </w:rPr>
        <w:t>4</w:t>
      </w:r>
      <w:r w:rsidR="00CC5D47">
        <w:rPr>
          <w:rFonts w:ascii="Verdana" w:hAnsi="Verdana"/>
          <w:sz w:val="16"/>
          <w:szCs w:val="16"/>
          <w:lang w:val="et-EE"/>
        </w:rPr>
        <w:t>.1.</w:t>
      </w:r>
      <w:r w:rsidR="00CC5D47">
        <w:rPr>
          <w:rFonts w:ascii="Verdana" w:hAnsi="Verdana"/>
          <w:sz w:val="16"/>
          <w:szCs w:val="16"/>
          <w:lang w:val="et-EE"/>
        </w:rPr>
        <w:tab/>
        <w:t>Litsentsilepingu lahutamatuks osaks on:</w:t>
      </w:r>
    </w:p>
    <w:p w:rsidR="00CC5D47" w:rsidRDefault="00CC5D47">
      <w:pPr>
        <w:ind w:firstLine="720"/>
        <w:jc w:val="both"/>
        <w:rPr>
          <w:rFonts w:ascii="Verdana" w:hAnsi="Verdana"/>
          <w:sz w:val="16"/>
          <w:szCs w:val="16"/>
          <w:lang w:val="et-EE"/>
        </w:rPr>
      </w:pPr>
    </w:p>
    <w:p w:rsidR="00CC5D47" w:rsidRPr="00920D24" w:rsidRDefault="00CC5D47" w:rsidP="00920D24">
      <w:pPr>
        <w:pStyle w:val="ListParagraph"/>
        <w:numPr>
          <w:ilvl w:val="2"/>
          <w:numId w:val="19"/>
        </w:numPr>
        <w:jc w:val="both"/>
        <w:rPr>
          <w:rFonts w:ascii="Verdana" w:hAnsi="Verdana"/>
          <w:sz w:val="16"/>
          <w:szCs w:val="16"/>
          <w:lang w:val="et-EE"/>
        </w:rPr>
      </w:pPr>
      <w:r w:rsidRPr="00920D24">
        <w:rPr>
          <w:rFonts w:ascii="Verdana" w:hAnsi="Verdana"/>
          <w:sz w:val="16"/>
          <w:szCs w:val="16"/>
          <w:lang w:val="et-EE"/>
        </w:rPr>
        <w:t>Lisa A - ETO märk</w:t>
      </w:r>
    </w:p>
    <w:p w:rsidR="00972184" w:rsidRDefault="00F529FD" w:rsidP="00F529FD">
      <w:pPr>
        <w:jc w:val="both"/>
        <w:rPr>
          <w:rFonts w:ascii="Verdana" w:hAnsi="Verdana"/>
          <w:bCs/>
          <w:sz w:val="16"/>
          <w:szCs w:val="16"/>
          <w:lang w:val="et-EE"/>
        </w:rPr>
      </w:pPr>
      <w:r>
        <w:rPr>
          <w:rFonts w:ascii="Verdana" w:hAnsi="Verdana"/>
          <w:sz w:val="16"/>
          <w:szCs w:val="16"/>
          <w:lang w:val="et-EE"/>
        </w:rPr>
        <w:br w:type="column"/>
      </w:r>
    </w:p>
    <w:p w:rsidR="00CC5D47" w:rsidRDefault="00CC5D47" w:rsidP="00972184">
      <w:pPr>
        <w:rPr>
          <w:rFonts w:ascii="Verdana" w:hAnsi="Verdana"/>
          <w:bCs/>
          <w:sz w:val="16"/>
          <w:szCs w:val="16"/>
          <w:lang w:val="et-EE"/>
        </w:rPr>
      </w:pPr>
      <w:r>
        <w:rPr>
          <w:rFonts w:ascii="Verdana" w:hAnsi="Verdana"/>
          <w:bCs/>
          <w:sz w:val="16"/>
          <w:szCs w:val="16"/>
          <w:lang w:val="et-EE"/>
        </w:rPr>
        <w:t>Lisa A</w:t>
      </w:r>
    </w:p>
    <w:p w:rsidR="00CC5D47" w:rsidRDefault="00CC5D47">
      <w:pPr>
        <w:ind w:left="720"/>
        <w:jc w:val="right"/>
        <w:rPr>
          <w:rFonts w:ascii="Verdana" w:hAnsi="Verdana"/>
          <w:bCs/>
          <w:sz w:val="16"/>
          <w:szCs w:val="16"/>
          <w:lang w:val="et-EE"/>
        </w:rPr>
      </w:pPr>
    </w:p>
    <w:p w:rsidR="00CC5D47" w:rsidRDefault="00CC5D47" w:rsidP="00370DDE">
      <w:pPr>
        <w:rPr>
          <w:rFonts w:ascii="Verdana" w:hAnsi="Verdana"/>
          <w:bCs/>
          <w:sz w:val="16"/>
          <w:szCs w:val="16"/>
          <w:lang w:val="et-EE"/>
        </w:rPr>
      </w:pPr>
    </w:p>
    <w:p w:rsidR="00CC5D47" w:rsidRDefault="00CC5D47">
      <w:pPr>
        <w:ind w:left="720"/>
        <w:jc w:val="right"/>
        <w:rPr>
          <w:rFonts w:ascii="Verdana" w:hAnsi="Verdana"/>
          <w:bCs/>
          <w:sz w:val="16"/>
          <w:szCs w:val="16"/>
          <w:lang w:val="et-EE"/>
        </w:rPr>
      </w:pPr>
    </w:p>
    <w:p w:rsidR="00CC5D47" w:rsidRDefault="00CC5D47">
      <w:pPr>
        <w:ind w:left="720"/>
        <w:jc w:val="right"/>
        <w:rPr>
          <w:rFonts w:ascii="Verdana" w:hAnsi="Verdana"/>
          <w:bCs/>
          <w:sz w:val="16"/>
          <w:szCs w:val="16"/>
          <w:lang w:val="et-EE"/>
        </w:rPr>
      </w:pPr>
    </w:p>
    <w:p w:rsidR="00CC5D47" w:rsidRDefault="00370DDE" w:rsidP="00240E28">
      <w:pPr>
        <w:ind w:left="720"/>
        <w:jc w:val="center"/>
        <w:rPr>
          <w:rFonts w:ascii="Verdana" w:hAnsi="Verdana"/>
          <w:bCs/>
          <w:sz w:val="16"/>
          <w:szCs w:val="16"/>
          <w:lang w:val="et-EE"/>
        </w:rPr>
      </w:pPr>
      <w:r>
        <w:rPr>
          <w:bCs/>
          <w:noProof/>
          <w:lang w:val="et-EE" w:eastAsia="et-EE"/>
        </w:rPr>
        <w:drawing>
          <wp:inline distT="0" distB="0" distL="0" distR="0" wp14:anchorId="1A68F0F8" wp14:editId="46F1210D">
            <wp:extent cx="25908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81200"/>
                    </a:xfrm>
                    <a:prstGeom prst="rect">
                      <a:avLst/>
                    </a:prstGeom>
                    <a:noFill/>
                    <a:ln>
                      <a:noFill/>
                    </a:ln>
                  </pic:spPr>
                </pic:pic>
              </a:graphicData>
            </a:graphic>
          </wp:inline>
        </w:drawing>
      </w:r>
    </w:p>
    <w:p w:rsidR="00CC5D47" w:rsidRDefault="00CC5D47" w:rsidP="00E579E0">
      <w:pPr>
        <w:ind w:left="720"/>
        <w:jc w:val="center"/>
        <w:rPr>
          <w:rFonts w:ascii="Verdana" w:hAnsi="Verdana"/>
          <w:bCs/>
          <w:sz w:val="16"/>
          <w:szCs w:val="16"/>
          <w:lang w:val="et-EE"/>
        </w:rPr>
      </w:pPr>
    </w:p>
    <w:p w:rsidR="00CC5D47" w:rsidRDefault="00CC5D47">
      <w:pPr>
        <w:ind w:left="720"/>
        <w:jc w:val="right"/>
        <w:rPr>
          <w:rFonts w:ascii="Verdana" w:hAnsi="Verdana"/>
          <w:bCs/>
          <w:sz w:val="16"/>
          <w:szCs w:val="16"/>
          <w:lang w:val="et-EE"/>
        </w:rPr>
      </w:pPr>
    </w:p>
    <w:p w:rsidR="00CC5D47" w:rsidRDefault="00370DDE" w:rsidP="00240E28">
      <w:pPr>
        <w:ind w:left="720"/>
        <w:jc w:val="center"/>
        <w:rPr>
          <w:rFonts w:ascii="Verdana" w:hAnsi="Verdana"/>
          <w:bCs/>
          <w:sz w:val="16"/>
          <w:szCs w:val="16"/>
          <w:lang w:val="et-EE"/>
        </w:rPr>
      </w:pPr>
      <w:r>
        <w:rPr>
          <w:bCs/>
          <w:noProof/>
          <w:lang w:val="et-EE" w:eastAsia="et-EE"/>
        </w:rPr>
        <w:drawing>
          <wp:inline distT="0" distB="0" distL="0" distR="0" wp14:anchorId="2B8DCA16" wp14:editId="798E8A13">
            <wp:extent cx="4716000" cy="1257600"/>
            <wp:effectExtent l="0" t="0" r="27940"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000" cy="1257600"/>
                    </a:xfrm>
                    <a:prstGeom prst="rect">
                      <a:avLst/>
                    </a:prstGeom>
                    <a:noFill/>
                    <a:ln>
                      <a:noFill/>
                    </a:ln>
                    <a:effectLst>
                      <a:outerShdw dist="28398" dir="3806097" algn="ctr" rotWithShape="0">
                        <a:srgbClr val="808080"/>
                      </a:outerShdw>
                    </a:effectLst>
                  </pic:spPr>
                </pic:pic>
              </a:graphicData>
            </a:graphic>
          </wp:inline>
        </w:drawing>
      </w:r>
    </w:p>
    <w:p w:rsidR="00CC5D47" w:rsidRDefault="00CC5D47">
      <w:pPr>
        <w:ind w:left="720"/>
        <w:jc w:val="right"/>
        <w:rPr>
          <w:rFonts w:ascii="Verdana" w:hAnsi="Verdana"/>
          <w:bCs/>
          <w:sz w:val="16"/>
          <w:szCs w:val="16"/>
          <w:lang w:val="et-EE"/>
        </w:rPr>
      </w:pPr>
    </w:p>
    <w:p w:rsidR="00CC5D47" w:rsidRDefault="00CC5D47">
      <w:pPr>
        <w:ind w:left="720"/>
        <w:jc w:val="right"/>
        <w:rPr>
          <w:rFonts w:ascii="Verdana" w:hAnsi="Verdana"/>
          <w:bCs/>
          <w:sz w:val="16"/>
          <w:szCs w:val="16"/>
          <w:lang w:val="et-EE"/>
        </w:rPr>
      </w:pPr>
    </w:p>
    <w:p w:rsidR="00CC5D47" w:rsidRDefault="00CC5D47">
      <w:pPr>
        <w:jc w:val="center"/>
        <w:rPr>
          <w:rFonts w:ascii="Verdana" w:hAnsi="Verdana"/>
          <w:bCs/>
          <w:sz w:val="16"/>
          <w:szCs w:val="16"/>
          <w:lang w:val="et-EE"/>
        </w:rPr>
      </w:pPr>
    </w:p>
    <w:p w:rsidR="00CC5D47" w:rsidRDefault="00CC5D47">
      <w:pPr>
        <w:ind w:left="720"/>
        <w:jc w:val="right"/>
        <w:rPr>
          <w:rFonts w:ascii="Verdana" w:hAnsi="Verdana"/>
          <w:bCs/>
          <w:sz w:val="16"/>
          <w:szCs w:val="16"/>
          <w:lang w:val="et-EE"/>
        </w:rPr>
      </w:pPr>
    </w:p>
    <w:p w:rsidR="00CC5D47" w:rsidRDefault="00CC5D47"/>
    <w:sectPr w:rsidR="00CC5D47" w:rsidSect="00920D24">
      <w:headerReference w:type="even" r:id="rId10"/>
      <w:headerReference w:type="default" r:id="rId11"/>
      <w:footerReference w:type="even" r:id="rId12"/>
      <w:footerReference w:type="default" r:id="rId13"/>
      <w:pgSz w:w="11906" w:h="16838"/>
      <w:pgMar w:top="1304" w:right="1985" w:bottom="130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80" w:rsidRDefault="00BF0680">
      <w:r>
        <w:separator/>
      </w:r>
    </w:p>
  </w:endnote>
  <w:endnote w:type="continuationSeparator" w:id="0">
    <w:p w:rsidR="00BF0680" w:rsidRDefault="00BF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84" w:rsidRDefault="00972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184" w:rsidRDefault="009721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84" w:rsidRPr="00E579E0" w:rsidRDefault="00972184">
    <w:pPr>
      <w:pStyle w:val="Footer"/>
      <w:framePr w:wrap="around" w:vAnchor="text" w:hAnchor="margin" w:xAlign="right" w:y="1"/>
      <w:rPr>
        <w:rStyle w:val="PageNumber"/>
        <w:sz w:val="16"/>
        <w:szCs w:val="16"/>
      </w:rPr>
    </w:pPr>
    <w:r w:rsidRPr="00E579E0">
      <w:rPr>
        <w:rStyle w:val="PageNumber"/>
        <w:sz w:val="16"/>
        <w:szCs w:val="16"/>
      </w:rPr>
      <w:fldChar w:fldCharType="begin"/>
    </w:r>
    <w:r w:rsidRPr="00E579E0">
      <w:rPr>
        <w:rStyle w:val="PageNumber"/>
        <w:sz w:val="16"/>
        <w:szCs w:val="16"/>
      </w:rPr>
      <w:instrText xml:space="preserve">PAGE  </w:instrText>
    </w:r>
    <w:r w:rsidRPr="00E579E0">
      <w:rPr>
        <w:rStyle w:val="PageNumber"/>
        <w:sz w:val="16"/>
        <w:szCs w:val="16"/>
      </w:rPr>
      <w:fldChar w:fldCharType="separate"/>
    </w:r>
    <w:r w:rsidR="003C4578">
      <w:rPr>
        <w:rStyle w:val="PageNumber"/>
        <w:noProof/>
        <w:sz w:val="16"/>
        <w:szCs w:val="16"/>
      </w:rPr>
      <w:t>2</w:t>
    </w:r>
    <w:r w:rsidRPr="00E579E0">
      <w:rPr>
        <w:rStyle w:val="PageNumber"/>
        <w:sz w:val="16"/>
        <w:szCs w:val="16"/>
      </w:rPr>
      <w:fldChar w:fldCharType="end"/>
    </w:r>
  </w:p>
  <w:p w:rsidR="00972184" w:rsidRDefault="009721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80" w:rsidRDefault="00BF0680">
      <w:r>
        <w:separator/>
      </w:r>
    </w:p>
  </w:footnote>
  <w:footnote w:type="continuationSeparator" w:id="0">
    <w:p w:rsidR="00BF0680" w:rsidRDefault="00BF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84" w:rsidRDefault="009721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184" w:rsidRDefault="009721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84" w:rsidRPr="002B689D" w:rsidRDefault="00972184">
    <w:pPr>
      <w:pStyle w:val="Header"/>
      <w:ind w:right="360"/>
      <w:rPr>
        <w:rFonts w:ascii="Times New Roman" w:hAnsi="Times New Roman" w:cs="Lucida Sans Unicode"/>
        <w:b/>
        <w:bCs/>
        <w:i/>
        <w:iCs/>
        <w:sz w:val="16"/>
        <w:szCs w:val="16"/>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A85E6C"/>
    <w:lvl w:ilvl="0">
      <w:start w:val="1"/>
      <w:numFmt w:val="decimal"/>
      <w:lvlText w:val="%1."/>
      <w:lvlJc w:val="left"/>
      <w:pPr>
        <w:tabs>
          <w:tab w:val="num" w:pos="1492"/>
        </w:tabs>
        <w:ind w:left="1492" w:hanging="360"/>
      </w:pPr>
    </w:lvl>
  </w:abstractNum>
  <w:abstractNum w:abstractNumId="1">
    <w:nsid w:val="FFFFFF7D"/>
    <w:multiLevelType w:val="singleLevel"/>
    <w:tmpl w:val="53BA5C54"/>
    <w:lvl w:ilvl="0">
      <w:start w:val="1"/>
      <w:numFmt w:val="decimal"/>
      <w:lvlText w:val="%1."/>
      <w:lvlJc w:val="left"/>
      <w:pPr>
        <w:tabs>
          <w:tab w:val="num" w:pos="1209"/>
        </w:tabs>
        <w:ind w:left="1209" w:hanging="360"/>
      </w:pPr>
    </w:lvl>
  </w:abstractNum>
  <w:abstractNum w:abstractNumId="2">
    <w:nsid w:val="FFFFFF7E"/>
    <w:multiLevelType w:val="singleLevel"/>
    <w:tmpl w:val="F16EBE6E"/>
    <w:lvl w:ilvl="0">
      <w:start w:val="1"/>
      <w:numFmt w:val="decimal"/>
      <w:lvlText w:val="%1."/>
      <w:lvlJc w:val="left"/>
      <w:pPr>
        <w:tabs>
          <w:tab w:val="num" w:pos="926"/>
        </w:tabs>
        <w:ind w:left="926" w:hanging="360"/>
      </w:pPr>
    </w:lvl>
  </w:abstractNum>
  <w:abstractNum w:abstractNumId="3">
    <w:nsid w:val="FFFFFF7F"/>
    <w:multiLevelType w:val="singleLevel"/>
    <w:tmpl w:val="18745C4E"/>
    <w:lvl w:ilvl="0">
      <w:start w:val="1"/>
      <w:numFmt w:val="decimal"/>
      <w:lvlText w:val="%1."/>
      <w:lvlJc w:val="left"/>
      <w:pPr>
        <w:tabs>
          <w:tab w:val="num" w:pos="643"/>
        </w:tabs>
        <w:ind w:left="643" w:hanging="360"/>
      </w:pPr>
    </w:lvl>
  </w:abstractNum>
  <w:abstractNum w:abstractNumId="4">
    <w:nsid w:val="FFFFFF80"/>
    <w:multiLevelType w:val="singleLevel"/>
    <w:tmpl w:val="FC285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D442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C40B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4AFE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568B38"/>
    <w:lvl w:ilvl="0">
      <w:start w:val="1"/>
      <w:numFmt w:val="decimal"/>
      <w:lvlText w:val="%1."/>
      <w:lvlJc w:val="left"/>
      <w:pPr>
        <w:tabs>
          <w:tab w:val="num" w:pos="360"/>
        </w:tabs>
        <w:ind w:left="360" w:hanging="360"/>
      </w:pPr>
    </w:lvl>
  </w:abstractNum>
  <w:abstractNum w:abstractNumId="9">
    <w:nsid w:val="02DE3F23"/>
    <w:multiLevelType w:val="multilevel"/>
    <w:tmpl w:val="CA64D5F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5F33B7B"/>
    <w:multiLevelType w:val="multilevel"/>
    <w:tmpl w:val="EAF41C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CA75A6"/>
    <w:multiLevelType w:val="multilevel"/>
    <w:tmpl w:val="5F523CC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0F6DA2"/>
    <w:multiLevelType w:val="multilevel"/>
    <w:tmpl w:val="5F523CC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3E1590"/>
    <w:multiLevelType w:val="multilevel"/>
    <w:tmpl w:val="CD466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F8A40E6"/>
    <w:multiLevelType w:val="multilevel"/>
    <w:tmpl w:val="137279DA"/>
    <w:lvl w:ilvl="0">
      <w:start w:val="4"/>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0E13792"/>
    <w:multiLevelType w:val="multilevel"/>
    <w:tmpl w:val="4B9C2F14"/>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60908C2"/>
    <w:multiLevelType w:val="multilevel"/>
    <w:tmpl w:val="40A8EC9E"/>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C256DFC"/>
    <w:multiLevelType w:val="multilevel"/>
    <w:tmpl w:val="66BCC23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F011FB3"/>
    <w:multiLevelType w:val="multilevel"/>
    <w:tmpl w:val="5F523CC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3"/>
  </w:num>
  <w:num w:numId="3">
    <w:abstractNumId w:val="16"/>
  </w:num>
  <w:num w:numId="4">
    <w:abstractNumId w:val="9"/>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C1"/>
    <w:rsid w:val="00033959"/>
    <w:rsid w:val="00077969"/>
    <w:rsid w:val="001516C1"/>
    <w:rsid w:val="001862EC"/>
    <w:rsid w:val="001E158B"/>
    <w:rsid w:val="00227D94"/>
    <w:rsid w:val="00240E28"/>
    <w:rsid w:val="002B5C98"/>
    <w:rsid w:val="002B689D"/>
    <w:rsid w:val="00370DDE"/>
    <w:rsid w:val="003B3DAF"/>
    <w:rsid w:val="003C4578"/>
    <w:rsid w:val="005B54BF"/>
    <w:rsid w:val="00602CBB"/>
    <w:rsid w:val="00707957"/>
    <w:rsid w:val="007E6F95"/>
    <w:rsid w:val="00920D24"/>
    <w:rsid w:val="00935A53"/>
    <w:rsid w:val="00972184"/>
    <w:rsid w:val="009F1F18"/>
    <w:rsid w:val="00A73EA1"/>
    <w:rsid w:val="00A915C1"/>
    <w:rsid w:val="00B151F4"/>
    <w:rsid w:val="00B976F2"/>
    <w:rsid w:val="00BF0680"/>
    <w:rsid w:val="00C54857"/>
    <w:rsid w:val="00C84094"/>
    <w:rsid w:val="00CA66B1"/>
    <w:rsid w:val="00CC5D47"/>
    <w:rsid w:val="00CE6A96"/>
    <w:rsid w:val="00D05AD7"/>
    <w:rsid w:val="00D852B7"/>
    <w:rsid w:val="00DA33A5"/>
    <w:rsid w:val="00DF41FF"/>
    <w:rsid w:val="00E0491F"/>
    <w:rsid w:val="00E11DBF"/>
    <w:rsid w:val="00E579E0"/>
    <w:rsid w:val="00E81B36"/>
    <w:rsid w:val="00F44A1E"/>
    <w:rsid w:val="00F529FD"/>
    <w:rsid w:val="00F650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sz w:val="24"/>
      <w:szCs w:val="24"/>
      <w:lang w:val="en-GB" w:eastAsia="en-US"/>
    </w:rPr>
  </w:style>
  <w:style w:type="paragraph" w:styleId="Heading2">
    <w:name w:val="heading 2"/>
    <w:basedOn w:val="Normal"/>
    <w:next w:val="Normal"/>
    <w:qFormat/>
    <w:pPr>
      <w:keepNext/>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rPr>
      <w:b/>
      <w:bCs/>
    </w:rPr>
  </w:style>
  <w:style w:type="paragraph" w:styleId="Title">
    <w:name w:val="Title"/>
    <w:basedOn w:val="Normal"/>
    <w:qFormat/>
    <w:pPr>
      <w:jc w:val="center"/>
    </w:pPr>
    <w:rPr>
      <w:b/>
      <w:sz w:val="28"/>
      <w:szCs w:val="28"/>
      <w:u w:val="single"/>
      <w:lang w:val="et-EE"/>
    </w:rPr>
  </w:style>
  <w:style w:type="paragraph" w:styleId="ListBullet">
    <w:name w:val="List Bullet"/>
    <w:basedOn w:val="Normal"/>
    <w:autoRedefine/>
    <w:pPr>
      <w:jc w:val="both"/>
    </w:pPr>
    <w:rPr>
      <w:lang w:val="en-US"/>
    </w:rPr>
  </w:style>
  <w:style w:type="character" w:customStyle="1" w:styleId="tekst4">
    <w:name w:val="tekst4"/>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1516C1"/>
    <w:pPr>
      <w:shd w:val="clear" w:color="auto" w:fill="000080"/>
    </w:pPr>
    <w:rPr>
      <w:rFonts w:ascii="Tahoma" w:hAnsi="Tahoma" w:cs="Tahoma"/>
      <w:sz w:val="20"/>
      <w:szCs w:val="20"/>
    </w:rPr>
  </w:style>
  <w:style w:type="paragraph" w:styleId="Revision">
    <w:name w:val="Revision"/>
    <w:hidden/>
    <w:uiPriority w:val="99"/>
    <w:semiHidden/>
    <w:rsid w:val="00920D24"/>
    <w:rPr>
      <w:rFonts w:ascii="Arial" w:hAnsi="Arial" w:cs="Arial"/>
      <w:color w:val="000000"/>
      <w:sz w:val="24"/>
      <w:szCs w:val="24"/>
      <w:lang w:val="en-GB" w:eastAsia="en-US"/>
    </w:rPr>
  </w:style>
  <w:style w:type="paragraph" w:styleId="ListParagraph">
    <w:name w:val="List Paragraph"/>
    <w:basedOn w:val="Normal"/>
    <w:uiPriority w:val="34"/>
    <w:qFormat/>
    <w:rsid w:val="0092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sz w:val="24"/>
      <w:szCs w:val="24"/>
      <w:lang w:val="en-GB" w:eastAsia="en-US"/>
    </w:rPr>
  </w:style>
  <w:style w:type="paragraph" w:styleId="Heading2">
    <w:name w:val="heading 2"/>
    <w:basedOn w:val="Normal"/>
    <w:next w:val="Normal"/>
    <w:qFormat/>
    <w:pPr>
      <w:keepNext/>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rPr>
      <w:b/>
      <w:bCs/>
    </w:rPr>
  </w:style>
  <w:style w:type="paragraph" w:styleId="Title">
    <w:name w:val="Title"/>
    <w:basedOn w:val="Normal"/>
    <w:qFormat/>
    <w:pPr>
      <w:jc w:val="center"/>
    </w:pPr>
    <w:rPr>
      <w:b/>
      <w:sz w:val="28"/>
      <w:szCs w:val="28"/>
      <w:u w:val="single"/>
      <w:lang w:val="et-EE"/>
    </w:rPr>
  </w:style>
  <w:style w:type="paragraph" w:styleId="ListBullet">
    <w:name w:val="List Bullet"/>
    <w:basedOn w:val="Normal"/>
    <w:autoRedefine/>
    <w:pPr>
      <w:jc w:val="both"/>
    </w:pPr>
    <w:rPr>
      <w:lang w:val="en-US"/>
    </w:rPr>
  </w:style>
  <w:style w:type="character" w:customStyle="1" w:styleId="tekst4">
    <w:name w:val="tekst4"/>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1516C1"/>
    <w:pPr>
      <w:shd w:val="clear" w:color="auto" w:fill="000080"/>
    </w:pPr>
    <w:rPr>
      <w:rFonts w:ascii="Tahoma" w:hAnsi="Tahoma" w:cs="Tahoma"/>
      <w:sz w:val="20"/>
      <w:szCs w:val="20"/>
    </w:rPr>
  </w:style>
  <w:style w:type="paragraph" w:styleId="Revision">
    <w:name w:val="Revision"/>
    <w:hidden/>
    <w:uiPriority w:val="99"/>
    <w:semiHidden/>
    <w:rsid w:val="00920D24"/>
    <w:rPr>
      <w:rFonts w:ascii="Arial" w:hAnsi="Arial" w:cs="Arial"/>
      <w:color w:val="000000"/>
      <w:sz w:val="24"/>
      <w:szCs w:val="24"/>
      <w:lang w:val="en-GB" w:eastAsia="en-US"/>
    </w:rPr>
  </w:style>
  <w:style w:type="paragraph" w:styleId="ListParagraph">
    <w:name w:val="List Paragraph"/>
    <w:basedOn w:val="Normal"/>
    <w:uiPriority w:val="34"/>
    <w:qFormat/>
    <w:rsid w:val="0092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Lisa 2</vt:lpstr>
      <vt:lpstr>Lisa 2</vt:lpstr>
    </vt:vector>
  </TitlesOfParts>
  <Company>AB Luiga Mugu &amp; Borenius</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creator>Ave</dc:creator>
  <cp:lastModifiedBy>Rainer Ramjalg</cp:lastModifiedBy>
  <cp:revision>2</cp:revision>
  <cp:lastPrinted>2015-02-09T18:26:00Z</cp:lastPrinted>
  <dcterms:created xsi:type="dcterms:W3CDTF">2016-02-12T08:41:00Z</dcterms:created>
  <dcterms:modified xsi:type="dcterms:W3CDTF">2016-02-12T08:41:00Z</dcterms:modified>
</cp:coreProperties>
</file>